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0C290C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сентября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(август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0C290C" w:rsidP="0032359A">
            <w:pPr>
              <w:tabs>
                <w:tab w:val="left" w:pos="1513"/>
              </w:tabs>
              <w:jc w:val="right"/>
            </w:pPr>
            <w:r>
              <w:t>Август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6E3C1E">
        <w:rPr>
          <w:b/>
          <w:color w:val="000000"/>
          <w:sz w:val="24"/>
          <w:szCs w:val="24"/>
        </w:rPr>
        <w:t>0340200003319</w:t>
      </w:r>
      <w:r w:rsidR="00B70A04">
        <w:rPr>
          <w:b/>
          <w:color w:val="000000"/>
          <w:sz w:val="24"/>
          <w:szCs w:val="24"/>
        </w:rPr>
        <w:t>00</w:t>
      </w:r>
      <w:r w:rsidR="000C290C">
        <w:rPr>
          <w:b/>
          <w:color w:val="000000"/>
          <w:sz w:val="24"/>
          <w:szCs w:val="24"/>
        </w:rPr>
        <w:t>9305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0C290C" w:rsidRPr="00A7705C">
        <w:t xml:space="preserve">Поставка </w:t>
      </w:r>
      <w:r w:rsidR="000C290C">
        <w:t>изделий медицинского назначения (катетеры</w:t>
      </w:r>
      <w:proofErr w:type="gramStart"/>
      <w:r w:rsidR="000C290C" w:rsidRPr="00B4161C">
        <w:rPr>
          <w:b/>
        </w:rPr>
        <w:t xml:space="preserve"> </w:t>
      </w:r>
      <w:r w:rsidR="000C290C">
        <w:t>)</w:t>
      </w:r>
      <w:proofErr w:type="gramEnd"/>
      <w:r w:rsidR="000C290C">
        <w:t>.</w:t>
      </w: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C290C" w:rsidRPr="007A38ED" w:rsidRDefault="000C290C" w:rsidP="000C290C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3513"/>
        <w:gridCol w:w="1559"/>
        <w:gridCol w:w="1276"/>
        <w:gridCol w:w="1276"/>
        <w:gridCol w:w="2268"/>
      </w:tblGrid>
      <w:tr w:rsidR="000C290C" w:rsidRPr="007C4228" w:rsidTr="000C290C">
        <w:trPr>
          <w:trHeight w:val="1827"/>
        </w:trPr>
        <w:tc>
          <w:tcPr>
            <w:tcW w:w="564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№ </w:t>
            </w:r>
            <w:proofErr w:type="spellStart"/>
            <w:proofErr w:type="gramStart"/>
            <w:r w:rsidRPr="007C4228">
              <w:rPr>
                <w:b/>
              </w:rPr>
              <w:t>п</w:t>
            </w:r>
            <w:proofErr w:type="spellEnd"/>
            <w:proofErr w:type="gramEnd"/>
            <w:r w:rsidRPr="007C4228">
              <w:rPr>
                <w:b/>
              </w:rPr>
              <w:t>/</w:t>
            </w:r>
            <w:proofErr w:type="spellStart"/>
            <w:r w:rsidRPr="007C4228">
              <w:rPr>
                <w:b/>
              </w:rPr>
              <w:t>п</w:t>
            </w:r>
            <w:proofErr w:type="spellEnd"/>
          </w:p>
        </w:tc>
        <w:tc>
          <w:tcPr>
            <w:tcW w:w="3513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Наименование товара </w:t>
            </w:r>
            <w:r w:rsidRPr="007C4228">
              <w:rPr>
                <w:b/>
              </w:rPr>
              <w:br/>
            </w:r>
          </w:p>
        </w:tc>
        <w:tc>
          <w:tcPr>
            <w:tcW w:w="1559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Ед. </w:t>
            </w:r>
            <w:proofErr w:type="spellStart"/>
            <w:r w:rsidRPr="007C4228">
              <w:rPr>
                <w:b/>
              </w:rPr>
              <w:t>изм</w:t>
            </w:r>
            <w:proofErr w:type="spellEnd"/>
            <w:r w:rsidRPr="007C4228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Количество закупаемого</w:t>
            </w:r>
            <w:r w:rsidRPr="007C4228">
              <w:rPr>
                <w:b/>
              </w:rPr>
              <w:br/>
              <w:t>товара</w:t>
            </w:r>
          </w:p>
        </w:tc>
        <w:tc>
          <w:tcPr>
            <w:tcW w:w="2268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Стоимость по позиции  (руб.)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1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ind w:firstLine="708"/>
              <w:jc w:val="center"/>
            </w:pPr>
            <w:r w:rsidRPr="007C4228"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tabs>
                <w:tab w:val="left" w:pos="1060"/>
              </w:tabs>
              <w:jc w:val="center"/>
            </w:pPr>
          </w:p>
          <w:p w:rsidR="000C290C" w:rsidRPr="007C4228" w:rsidRDefault="000C290C" w:rsidP="000C290C">
            <w:pPr>
              <w:tabs>
                <w:tab w:val="left" w:pos="1060"/>
              </w:tabs>
              <w:jc w:val="center"/>
            </w:pPr>
            <w:r w:rsidRPr="007C4228">
              <w:t>360,00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2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150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1800,00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720,00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645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4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360,00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lastRenderedPageBreak/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100,00</w:t>
            </w:r>
          </w:p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7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8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9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самоудерживающийся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1650,00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13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280,00</w:t>
            </w:r>
          </w:p>
        </w:tc>
      </w:tr>
    </w:tbl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0C290C">
        <w:rPr>
          <w:b/>
          <w:sz w:val="24"/>
          <w:szCs w:val="24"/>
        </w:rPr>
        <w:t>11830,0</w:t>
      </w:r>
      <w:r w:rsidR="00561BB2">
        <w:rPr>
          <w:b/>
          <w:sz w:val="24"/>
          <w:szCs w:val="24"/>
        </w:rPr>
        <w:t>0</w:t>
      </w:r>
      <w:r w:rsidR="006E3C1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0C290C">
        <w:rPr>
          <w:sz w:val="24"/>
          <w:szCs w:val="24"/>
        </w:rPr>
        <w:t>12.08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0C290C" w:rsidRPr="00C75B97">
        <w:t>Общество с ограниченной ответственностью «</w:t>
      </w:r>
      <w:proofErr w:type="spellStart"/>
      <w:r w:rsidR="000C290C" w:rsidRPr="00C75B97">
        <w:t>ПрофиМед</w:t>
      </w:r>
      <w:proofErr w:type="spellEnd"/>
      <w:r w:rsidR="000C290C" w:rsidRPr="00C75B97">
        <w:t>»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0C290C">
        <w:rPr>
          <w:sz w:val="24"/>
          <w:szCs w:val="24"/>
        </w:rPr>
        <w:t>11830,0</w:t>
      </w:r>
      <w:r w:rsidR="00561BB2">
        <w:rPr>
          <w:sz w:val="24"/>
          <w:szCs w:val="24"/>
        </w:rPr>
        <w:t>0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0C290C" w:rsidRPr="007A38ED" w:rsidRDefault="000C290C" w:rsidP="000C290C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>« Спецификация поставляемых товаров»</w:t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4"/>
        <w:gridCol w:w="3513"/>
        <w:gridCol w:w="1559"/>
        <w:gridCol w:w="1276"/>
        <w:gridCol w:w="1276"/>
        <w:gridCol w:w="2268"/>
      </w:tblGrid>
      <w:tr w:rsidR="000C290C" w:rsidRPr="007C4228" w:rsidTr="000C290C">
        <w:trPr>
          <w:trHeight w:val="1827"/>
        </w:trPr>
        <w:tc>
          <w:tcPr>
            <w:tcW w:w="564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№ </w:t>
            </w:r>
            <w:proofErr w:type="spellStart"/>
            <w:proofErr w:type="gramStart"/>
            <w:r w:rsidRPr="007C4228">
              <w:rPr>
                <w:b/>
              </w:rPr>
              <w:t>п</w:t>
            </w:r>
            <w:proofErr w:type="spellEnd"/>
            <w:proofErr w:type="gramEnd"/>
            <w:r w:rsidRPr="007C4228">
              <w:rPr>
                <w:b/>
              </w:rPr>
              <w:t>/</w:t>
            </w:r>
            <w:proofErr w:type="spellStart"/>
            <w:r w:rsidRPr="007C4228">
              <w:rPr>
                <w:b/>
              </w:rPr>
              <w:t>п</w:t>
            </w:r>
            <w:proofErr w:type="spellEnd"/>
          </w:p>
        </w:tc>
        <w:tc>
          <w:tcPr>
            <w:tcW w:w="3513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Наименование товара </w:t>
            </w:r>
            <w:r w:rsidRPr="007C4228">
              <w:rPr>
                <w:b/>
              </w:rPr>
              <w:br/>
            </w:r>
          </w:p>
        </w:tc>
        <w:tc>
          <w:tcPr>
            <w:tcW w:w="1559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 xml:space="preserve">Ед. </w:t>
            </w:r>
            <w:proofErr w:type="spellStart"/>
            <w:r w:rsidRPr="007C4228">
              <w:rPr>
                <w:b/>
              </w:rPr>
              <w:t>изм</w:t>
            </w:r>
            <w:proofErr w:type="spellEnd"/>
            <w:r w:rsidRPr="007C4228">
              <w:rPr>
                <w:b/>
              </w:rPr>
              <w:t>.</w:t>
            </w:r>
          </w:p>
        </w:tc>
        <w:tc>
          <w:tcPr>
            <w:tcW w:w="1276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Количество закупаемого</w:t>
            </w:r>
            <w:r w:rsidRPr="007C4228">
              <w:rPr>
                <w:b/>
              </w:rPr>
              <w:br/>
              <w:t>товара</w:t>
            </w:r>
          </w:p>
        </w:tc>
        <w:tc>
          <w:tcPr>
            <w:tcW w:w="2268" w:type="dxa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rPr>
                <w:b/>
              </w:rPr>
              <w:t>Стоимость по позиции  (руб.)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1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ind w:firstLine="708"/>
              <w:jc w:val="center"/>
            </w:pPr>
            <w:r w:rsidRPr="007C4228"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tabs>
                <w:tab w:val="left" w:pos="1060"/>
              </w:tabs>
              <w:jc w:val="center"/>
            </w:pPr>
          </w:p>
          <w:p w:rsidR="000C290C" w:rsidRPr="007C4228" w:rsidRDefault="000C290C" w:rsidP="000C290C">
            <w:pPr>
              <w:tabs>
                <w:tab w:val="left" w:pos="1060"/>
              </w:tabs>
              <w:jc w:val="center"/>
            </w:pPr>
            <w:r w:rsidRPr="007C4228">
              <w:t>360,00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2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150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1800,00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720,00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645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4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Нелатона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12,00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360,00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100,00</w:t>
            </w:r>
          </w:p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600,00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7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8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урологический жен.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r w:rsidRPr="007C4228">
              <w:t>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1000,00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9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 xml:space="preserve">Катетер </w:t>
            </w:r>
            <w:proofErr w:type="spellStart"/>
            <w:r w:rsidRPr="007C4228">
              <w:t>самоудерживающийся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110,00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1650,00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10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12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1120,00</w:t>
            </w: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3513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0C290C" w:rsidRPr="007C4228" w:rsidRDefault="000C290C" w:rsidP="000C290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</w:tc>
      </w:tr>
      <w:tr w:rsidR="000C290C" w:rsidRPr="007C4228" w:rsidTr="000C290C">
        <w:trPr>
          <w:trHeight w:val="509"/>
        </w:trPr>
        <w:tc>
          <w:tcPr>
            <w:tcW w:w="564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13</w:t>
            </w:r>
          </w:p>
        </w:tc>
        <w:tc>
          <w:tcPr>
            <w:tcW w:w="3513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  <w:r w:rsidRPr="007C4228">
              <w:t>Катетер ФОЛЕЯ</w:t>
            </w:r>
          </w:p>
        </w:tc>
        <w:tc>
          <w:tcPr>
            <w:tcW w:w="1559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56,00</w:t>
            </w:r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  <w:proofErr w:type="spellStart"/>
            <w:proofErr w:type="gramStart"/>
            <w:r w:rsidRPr="007C4228">
              <w:t>шт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</w:pPr>
          </w:p>
          <w:p w:rsidR="000C290C" w:rsidRPr="007C4228" w:rsidRDefault="000C290C" w:rsidP="000C290C">
            <w:pPr>
              <w:jc w:val="center"/>
            </w:pPr>
            <w:r w:rsidRPr="007C4228"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0C290C" w:rsidRPr="007C4228" w:rsidRDefault="000C290C" w:rsidP="000C290C">
            <w:pPr>
              <w:jc w:val="center"/>
              <w:rPr>
                <w:b/>
              </w:rPr>
            </w:pPr>
          </w:p>
          <w:p w:rsidR="000C290C" w:rsidRPr="007C4228" w:rsidRDefault="000C290C" w:rsidP="000C290C">
            <w:pPr>
              <w:jc w:val="center"/>
            </w:pPr>
            <w:r w:rsidRPr="007C4228">
              <w:t>280,00</w:t>
            </w:r>
          </w:p>
        </w:tc>
      </w:tr>
    </w:tbl>
    <w:p w:rsidR="000C290C" w:rsidRPr="00315FFE" w:rsidRDefault="000C290C" w:rsidP="00315FFE">
      <w:pPr>
        <w:ind w:firstLine="708"/>
        <w:rPr>
          <w:b/>
          <w:sz w:val="24"/>
          <w:szCs w:val="24"/>
        </w:rPr>
      </w:pPr>
    </w:p>
    <w:p w:rsidR="004B5DBC" w:rsidRDefault="006568B9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С</w:t>
      </w:r>
      <w:r w:rsidR="004B5DBC" w:rsidRPr="005C2ABE">
        <w:rPr>
          <w:rFonts w:ascii="Times New Roman" w:hAnsi="Times New Roman"/>
          <w:szCs w:val="24"/>
        </w:rPr>
        <w:t xml:space="preserve"> момента подписания </w:t>
      </w:r>
      <w:r w:rsidR="00B70A04">
        <w:rPr>
          <w:rFonts w:ascii="Times New Roman" w:hAnsi="Times New Roman"/>
          <w:szCs w:val="24"/>
        </w:rPr>
        <w:t>кон</w:t>
      </w:r>
      <w:r w:rsidR="000C290C">
        <w:rPr>
          <w:rFonts w:ascii="Times New Roman" w:hAnsi="Times New Roman"/>
          <w:szCs w:val="24"/>
        </w:rPr>
        <w:t>тракта и действует до 31 июля 2020</w:t>
      </w:r>
      <w:r w:rsidR="004B5DBC">
        <w:rPr>
          <w:rFonts w:ascii="Times New Roman" w:hAnsi="Times New Roman"/>
          <w:szCs w:val="24"/>
        </w:rPr>
        <w:t xml:space="preserve"> года</w:t>
      </w:r>
      <w:r w:rsidR="004B5DBC" w:rsidRPr="005C2ABE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561BB2">
        <w:rPr>
          <w:b/>
          <w:color w:val="000000"/>
          <w:sz w:val="24"/>
          <w:szCs w:val="24"/>
        </w:rPr>
        <w:t>0</w:t>
      </w:r>
      <w:r w:rsidR="000C290C">
        <w:rPr>
          <w:b/>
          <w:color w:val="000000"/>
          <w:sz w:val="24"/>
          <w:szCs w:val="24"/>
        </w:rPr>
        <w:t>9503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F253E9" w:rsidRDefault="00FD1B32" w:rsidP="00F253E9">
      <w:pPr>
        <w:jc w:val="center"/>
        <w:rPr>
          <w:b/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0C290C" w:rsidRPr="00A7705C">
        <w:t xml:space="preserve">Поставка </w:t>
      </w:r>
      <w:r w:rsidR="000C290C">
        <w:t>изделий медицинского назначения (линза Гольдмана).</w:t>
      </w: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C290C" w:rsidRPr="000C290C" w:rsidRDefault="000C290C" w:rsidP="00FD1B32">
      <w:pPr>
        <w:ind w:firstLine="708"/>
      </w:pPr>
      <w:r w:rsidRPr="000C290C">
        <w:t xml:space="preserve">Линза- 1 </w:t>
      </w:r>
      <w:proofErr w:type="spellStart"/>
      <w:r w:rsidRPr="000C290C">
        <w:t>компл</w:t>
      </w:r>
      <w:proofErr w:type="spellEnd"/>
    </w:p>
    <w:p w:rsidR="000C290C" w:rsidRPr="00BF3D92" w:rsidRDefault="00FD1B32" w:rsidP="000C290C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0C290C">
        <w:rPr>
          <w:sz w:val="24"/>
          <w:szCs w:val="24"/>
        </w:rPr>
        <w:t>в течение 15 (пятнадцати) дней с момента подписания Контракта</w:t>
      </w:r>
      <w:r w:rsidR="000C290C" w:rsidRPr="00BF3D92">
        <w:rPr>
          <w:sz w:val="24"/>
          <w:szCs w:val="24"/>
        </w:rPr>
        <w:t>.</w:t>
      </w:r>
    </w:p>
    <w:p w:rsidR="002264D0" w:rsidRDefault="002264D0" w:rsidP="002264D0">
      <w:pPr>
        <w:jc w:val="both"/>
        <w:rPr>
          <w:sz w:val="24"/>
          <w:szCs w:val="24"/>
        </w:rPr>
      </w:pPr>
    </w:p>
    <w:p w:rsidR="00FD1B32" w:rsidRPr="002370A2" w:rsidRDefault="00FD1B32" w:rsidP="002264D0">
      <w:pPr>
        <w:ind w:firstLine="405"/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0C290C">
        <w:rPr>
          <w:b/>
          <w:sz w:val="24"/>
          <w:szCs w:val="24"/>
        </w:rPr>
        <w:t>19500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C290C">
        <w:rPr>
          <w:sz w:val="24"/>
          <w:szCs w:val="24"/>
        </w:rPr>
        <w:t>14.08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0C290C" w:rsidRPr="0006366C">
        <w:rPr>
          <w:color w:val="000000"/>
          <w:sz w:val="24"/>
          <w:szCs w:val="24"/>
        </w:rPr>
        <w:t>Общество с ограниченной ответственностью "КТ-СЕРВИС"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0C290C">
        <w:rPr>
          <w:sz w:val="24"/>
          <w:szCs w:val="24"/>
        </w:rPr>
        <w:t xml:space="preserve"> 19500</w:t>
      </w:r>
      <w:r w:rsidR="00F253E9">
        <w:rPr>
          <w:sz w:val="24"/>
          <w:szCs w:val="24"/>
        </w:rPr>
        <w:t>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B5DBC" w:rsidRPr="004B5DBC" w:rsidRDefault="000C290C" w:rsidP="00FD1B32">
      <w:pPr>
        <w:ind w:firstLine="708"/>
      </w:pPr>
      <w:r>
        <w:t xml:space="preserve">Линза- 19500,00 </w:t>
      </w:r>
      <w:proofErr w:type="spellStart"/>
      <w:r>
        <w:t>руб</w:t>
      </w:r>
      <w:proofErr w:type="spellEnd"/>
      <w:r>
        <w:t xml:space="preserve"> за 1 </w:t>
      </w:r>
      <w:proofErr w:type="spellStart"/>
      <w:r>
        <w:t>компл</w:t>
      </w:r>
      <w:proofErr w:type="spellEnd"/>
    </w:p>
    <w:p w:rsidR="002264D0" w:rsidRDefault="00FD1B32" w:rsidP="002264D0">
      <w:pPr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F50147" w:rsidRPr="00F50147">
        <w:t>Контракт действует до «31»декабря 2019г.</w:t>
      </w:r>
    </w:p>
    <w:p w:rsidR="00F253E9" w:rsidRDefault="00F253E9" w:rsidP="00F253E9">
      <w:pPr>
        <w:ind w:firstLine="709"/>
        <w:jc w:val="both"/>
        <w:rPr>
          <w:sz w:val="24"/>
          <w:szCs w:val="24"/>
        </w:rPr>
      </w:pPr>
    </w:p>
    <w:p w:rsidR="004B5DBC" w:rsidRPr="00AB12E5" w:rsidRDefault="00CD312D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B5DBC" w:rsidRPr="00910D38">
        <w:rPr>
          <w:b/>
          <w:color w:val="000000"/>
          <w:sz w:val="24"/>
          <w:szCs w:val="24"/>
        </w:rPr>
        <w:t>0</w:t>
      </w:r>
      <w:r w:rsidR="004B5DBC">
        <w:rPr>
          <w:b/>
          <w:color w:val="000000"/>
          <w:sz w:val="24"/>
          <w:szCs w:val="24"/>
        </w:rPr>
        <w:t>34020000331900</w:t>
      </w:r>
      <w:r w:rsidR="00F50147">
        <w:rPr>
          <w:b/>
          <w:color w:val="000000"/>
          <w:sz w:val="24"/>
          <w:szCs w:val="24"/>
        </w:rPr>
        <w:t>9151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F50147">
        <w:rPr>
          <w:rFonts w:ascii="Times New Roman" w:hAnsi="Times New Roman" w:cs="Times New Roman"/>
        </w:rPr>
        <w:t>Поставка дезинфицирующих средств (кожный антисептик</w:t>
      </w:r>
      <w:r w:rsidR="00F50147" w:rsidRPr="002E4E1D">
        <w:rPr>
          <w:rFonts w:ascii="Times New Roman" w:hAnsi="Times New Roman" w:cs="Times New Roman"/>
        </w:rPr>
        <w:t xml:space="preserve">) </w:t>
      </w: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50"/>
        <w:gridCol w:w="2268"/>
        <w:gridCol w:w="1700"/>
        <w:gridCol w:w="992"/>
        <w:gridCol w:w="995"/>
        <w:gridCol w:w="1418"/>
        <w:gridCol w:w="1134"/>
      </w:tblGrid>
      <w:tr w:rsidR="00F50147" w:rsidTr="00F5014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F50147" w:rsidTr="00F50147">
        <w:trPr>
          <w:trHeight w:val="2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F50147" w:rsidTr="00F5014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</w:t>
            </w:r>
            <w:r>
              <w:rPr>
                <w:rFonts w:eastAsia="Calibri"/>
                <w:bCs/>
              </w:rPr>
              <w:t xml:space="preserve"> “</w:t>
            </w:r>
            <w:proofErr w:type="spellStart"/>
            <w:r>
              <w:rPr>
                <w:rFonts w:eastAsia="Calibri"/>
                <w:bCs/>
              </w:rPr>
              <w:t>Абсолюсепт</w:t>
            </w:r>
            <w:proofErr w:type="spellEnd"/>
            <w:r>
              <w:rPr>
                <w:rFonts w:eastAsia="Calibri"/>
                <w:bCs/>
              </w:rPr>
              <w:t xml:space="preserve"> элит”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</w:pPr>
            <w:r>
              <w:rPr>
                <w:sz w:val="24"/>
                <w:szCs w:val="24"/>
              </w:rPr>
              <w:t>278,00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sz w:val="24"/>
                <w:szCs w:val="24"/>
              </w:rPr>
              <w:t>63940,00</w:t>
            </w:r>
          </w:p>
        </w:tc>
      </w:tr>
      <w:tr w:rsidR="00F50147" w:rsidTr="00F50147">
        <w:trPr>
          <w:trHeight w:val="53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0147" w:rsidRDefault="00F50147" w:rsidP="004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антисептик-</w:t>
            </w:r>
          </w:p>
          <w:p w:rsidR="00F50147" w:rsidRDefault="00F50147" w:rsidP="004F7CE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</w:t>
            </w:r>
            <w:r>
              <w:rPr>
                <w:rFonts w:eastAsia="Calibri"/>
                <w:bCs/>
              </w:rPr>
              <w:t xml:space="preserve"> “</w:t>
            </w:r>
            <w:proofErr w:type="spellStart"/>
            <w:r>
              <w:rPr>
                <w:rFonts w:eastAsia="Calibri"/>
                <w:bCs/>
              </w:rPr>
              <w:t>Абсолюсепт</w:t>
            </w:r>
            <w:proofErr w:type="spellEnd"/>
            <w:r>
              <w:rPr>
                <w:rFonts w:eastAsia="Calibri"/>
                <w:bCs/>
              </w:rPr>
              <w:t xml:space="preserve"> элит”</w:t>
            </w:r>
          </w:p>
          <w:p w:rsidR="00F50147" w:rsidRDefault="00F50147" w:rsidP="004F7CEF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F50147" w:rsidRDefault="00F50147" w:rsidP="004F7C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6452,94</w:t>
            </w:r>
          </w:p>
        </w:tc>
      </w:tr>
      <w:tr w:rsidR="00F50147" w:rsidTr="00F50147">
        <w:trPr>
          <w:trHeight w:val="50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165,56</w:t>
            </w:r>
          </w:p>
        </w:tc>
      </w:tr>
    </w:tbl>
    <w:p w:rsidR="00F50147" w:rsidRDefault="00F50147" w:rsidP="004B5DBC">
      <w:pPr>
        <w:ind w:firstLine="708"/>
        <w:rPr>
          <w:sz w:val="24"/>
          <w:szCs w:val="24"/>
        </w:rPr>
      </w:pPr>
    </w:p>
    <w:p w:rsidR="00F50147" w:rsidRPr="00841D3C" w:rsidRDefault="004B5DBC" w:rsidP="00F50147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F5014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CD312D" w:rsidRPr="00CD312D" w:rsidRDefault="004B5DBC" w:rsidP="00CD312D">
      <w:pPr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F50147">
        <w:rPr>
          <w:b/>
          <w:sz w:val="24"/>
          <w:szCs w:val="24"/>
        </w:rPr>
        <w:t>98900, 00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50147">
        <w:rPr>
          <w:sz w:val="24"/>
          <w:szCs w:val="24"/>
        </w:rPr>
        <w:t>14.08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691656" w:rsidRDefault="004B5DBC" w:rsidP="004B5DB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F50147" w:rsidRPr="00365DF3">
        <w:rPr>
          <w:sz w:val="24"/>
          <w:szCs w:val="24"/>
        </w:rPr>
        <w:t>Общество с ограниченной ответственностью Торговый дом «</w:t>
      </w:r>
      <w:proofErr w:type="spellStart"/>
      <w:r w:rsidR="00F50147" w:rsidRPr="00365DF3">
        <w:rPr>
          <w:sz w:val="24"/>
          <w:szCs w:val="24"/>
        </w:rPr>
        <w:t>Медпоставка</w:t>
      </w:r>
      <w:proofErr w:type="spellEnd"/>
      <w:r w:rsidR="00F50147" w:rsidRPr="00365DF3">
        <w:rPr>
          <w:sz w:val="24"/>
          <w:szCs w:val="24"/>
        </w:rPr>
        <w:t>»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50147">
        <w:rPr>
          <w:sz w:val="24"/>
          <w:szCs w:val="24"/>
        </w:rPr>
        <w:t>70558,50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850"/>
        <w:gridCol w:w="2268"/>
        <w:gridCol w:w="1700"/>
        <w:gridCol w:w="992"/>
        <w:gridCol w:w="995"/>
        <w:gridCol w:w="1418"/>
        <w:gridCol w:w="1276"/>
      </w:tblGrid>
      <w:tr w:rsidR="00F50147" w:rsidTr="00F5014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F50147" w:rsidTr="00F50147">
        <w:trPr>
          <w:trHeight w:val="23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F50147" w:rsidTr="00F5014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</w:t>
            </w:r>
            <w:r>
              <w:rPr>
                <w:rFonts w:eastAsia="Calibri"/>
                <w:bCs/>
              </w:rPr>
              <w:t xml:space="preserve"> “</w:t>
            </w:r>
            <w:proofErr w:type="spellStart"/>
            <w:r>
              <w:rPr>
                <w:rFonts w:eastAsia="Calibri"/>
                <w:bCs/>
              </w:rPr>
              <w:t>Абсолюсепт</w:t>
            </w:r>
            <w:proofErr w:type="spellEnd"/>
            <w:r>
              <w:rPr>
                <w:rFonts w:eastAsia="Calibri"/>
                <w:bCs/>
              </w:rPr>
              <w:t xml:space="preserve"> элит”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</w:pPr>
            <w:r>
              <w:rPr>
                <w:sz w:val="24"/>
                <w:szCs w:val="24"/>
              </w:rPr>
              <w:t>278,00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</w:pPr>
            <w:r>
              <w:rPr>
                <w:sz w:val="24"/>
                <w:szCs w:val="24"/>
              </w:rPr>
              <w:t>63940,00</w:t>
            </w:r>
          </w:p>
        </w:tc>
      </w:tr>
      <w:tr w:rsidR="00F50147" w:rsidTr="00F50147">
        <w:trPr>
          <w:trHeight w:val="53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50147" w:rsidRDefault="00F50147" w:rsidP="004F7C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антисептик-</w:t>
            </w:r>
          </w:p>
          <w:p w:rsidR="00F50147" w:rsidRDefault="00F50147" w:rsidP="004F7CE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rFonts w:eastAsia="Calibri"/>
              </w:rPr>
            </w:pPr>
            <w:r>
              <w:t>Кожный антисептик</w:t>
            </w:r>
            <w:r>
              <w:rPr>
                <w:rFonts w:eastAsia="Calibri"/>
                <w:bCs/>
              </w:rPr>
              <w:t xml:space="preserve"> “</w:t>
            </w:r>
            <w:proofErr w:type="spellStart"/>
            <w:r>
              <w:rPr>
                <w:rFonts w:eastAsia="Calibri"/>
                <w:bCs/>
              </w:rPr>
              <w:t>Абсолюсепт</w:t>
            </w:r>
            <w:proofErr w:type="spellEnd"/>
            <w:r>
              <w:rPr>
                <w:rFonts w:eastAsia="Calibri"/>
                <w:bCs/>
              </w:rPr>
              <w:t xml:space="preserve"> элит”</w:t>
            </w:r>
          </w:p>
          <w:p w:rsidR="00F50147" w:rsidRDefault="00F50147" w:rsidP="004F7CEF">
            <w:pPr>
              <w:jc w:val="center"/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Россия</w:t>
            </w:r>
          </w:p>
          <w:p w:rsidR="00F50147" w:rsidRDefault="00F50147" w:rsidP="004F7C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6452,94</w:t>
            </w:r>
          </w:p>
        </w:tc>
      </w:tr>
      <w:tr w:rsidR="00F50147" w:rsidTr="00F50147">
        <w:trPr>
          <w:trHeight w:val="509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147" w:rsidRDefault="00F50147" w:rsidP="004F7CEF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147" w:rsidRDefault="00F50147" w:rsidP="004F7CE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165,56</w:t>
            </w:r>
          </w:p>
        </w:tc>
      </w:tr>
    </w:tbl>
    <w:p w:rsidR="00F50147" w:rsidRDefault="00F50147" w:rsidP="004B5DBC">
      <w:pPr>
        <w:ind w:firstLine="708"/>
        <w:rPr>
          <w:b/>
          <w:sz w:val="24"/>
          <w:szCs w:val="24"/>
        </w:rPr>
      </w:pPr>
    </w:p>
    <w:p w:rsidR="00CD312D" w:rsidRDefault="004B5DBC" w:rsidP="00CD312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CD312D" w:rsidRPr="008D793D">
        <w:rPr>
          <w:sz w:val="24"/>
          <w:szCs w:val="24"/>
        </w:rPr>
        <w:t>Контра</w:t>
      </w:r>
      <w:proofErr w:type="gramStart"/>
      <w:r w:rsidR="00CD312D" w:rsidRPr="008D793D">
        <w:rPr>
          <w:sz w:val="24"/>
          <w:szCs w:val="24"/>
        </w:rPr>
        <w:t>кт вст</w:t>
      </w:r>
      <w:proofErr w:type="gramEnd"/>
      <w:r w:rsidR="00CD312D" w:rsidRPr="008D793D">
        <w:rPr>
          <w:sz w:val="24"/>
          <w:szCs w:val="24"/>
        </w:rPr>
        <w:t>упает в силу с даты его подписания Сто</w:t>
      </w:r>
      <w:r w:rsidR="00F50147">
        <w:rPr>
          <w:sz w:val="24"/>
          <w:szCs w:val="24"/>
        </w:rPr>
        <w:t>ронами и действует до 31 августа 2020</w:t>
      </w:r>
      <w:r w:rsidR="00CD312D" w:rsidRPr="008D793D">
        <w:rPr>
          <w:sz w:val="24"/>
          <w:szCs w:val="24"/>
        </w:rPr>
        <w:t xml:space="preserve"> года.</w:t>
      </w:r>
    </w:p>
    <w:p w:rsidR="005777FA" w:rsidRPr="00BA174E" w:rsidRDefault="00BA174E" w:rsidP="00BA174E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777FA" w:rsidRPr="00BA174E">
        <w:rPr>
          <w:b/>
          <w:sz w:val="24"/>
          <w:szCs w:val="24"/>
        </w:rPr>
        <w:t>Номер закупки: №</w:t>
      </w:r>
      <w:r w:rsidR="005777FA" w:rsidRPr="00BA174E">
        <w:rPr>
          <w:b/>
          <w:color w:val="000000"/>
          <w:sz w:val="24"/>
          <w:szCs w:val="24"/>
        </w:rPr>
        <w:t xml:space="preserve"> 034020000331900</w:t>
      </w:r>
      <w:r w:rsidR="00F50147">
        <w:rPr>
          <w:b/>
          <w:color w:val="000000"/>
          <w:sz w:val="24"/>
          <w:szCs w:val="24"/>
        </w:rPr>
        <w:t>9729</w:t>
      </w:r>
      <w:r w:rsidR="005777FA" w:rsidRPr="00BA174E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BA174E" w:rsidRDefault="005777FA" w:rsidP="00BA174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объекта закупки:</w:t>
      </w:r>
      <w:r w:rsidRPr="00EE4900">
        <w:rPr>
          <w:b/>
        </w:rPr>
        <w:t xml:space="preserve"> </w:t>
      </w:r>
      <w:r w:rsidR="00F50147" w:rsidRPr="00A7705C">
        <w:rPr>
          <w:rFonts w:ascii="Times New Roman" w:hAnsi="Times New Roman" w:cs="Times New Roman"/>
        </w:rPr>
        <w:t xml:space="preserve">Поставка </w:t>
      </w:r>
      <w:r w:rsidR="00F50147">
        <w:rPr>
          <w:rFonts w:ascii="Times New Roman" w:hAnsi="Times New Roman" w:cs="Times New Roman"/>
        </w:rPr>
        <w:t>изделий медицинского назначения (набор для  переливания крови).</w:t>
      </w:r>
    </w:p>
    <w:p w:rsidR="00AC3868" w:rsidRPr="00F50147" w:rsidRDefault="005777FA" w:rsidP="00F5014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AC3868" w:rsidRPr="00F50147" w:rsidRDefault="00F50147" w:rsidP="005777FA">
      <w:pPr>
        <w:ind w:firstLine="708"/>
        <w:rPr>
          <w:sz w:val="24"/>
          <w:szCs w:val="24"/>
        </w:rPr>
      </w:pPr>
      <w:r w:rsidRPr="00F50147">
        <w:t>Набор для переливания крови</w:t>
      </w:r>
      <w:r>
        <w:t xml:space="preserve">- 300 </w:t>
      </w:r>
      <w:proofErr w:type="spellStart"/>
      <w:proofErr w:type="gramStart"/>
      <w:r>
        <w:t>шт</w:t>
      </w:r>
      <w:proofErr w:type="spellEnd"/>
      <w:proofErr w:type="gramEnd"/>
    </w:p>
    <w:p w:rsidR="005777FA" w:rsidRPr="00AC3868" w:rsidRDefault="005777FA" w:rsidP="00AC3868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AC3868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90671D">
        <w:rPr>
          <w:b/>
          <w:sz w:val="24"/>
          <w:szCs w:val="24"/>
        </w:rPr>
        <w:t>7305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50147">
        <w:rPr>
          <w:sz w:val="24"/>
          <w:szCs w:val="24"/>
        </w:rPr>
        <w:t>19.08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F50147">
        <w:rPr>
          <w:b/>
          <w:sz w:val="24"/>
          <w:szCs w:val="24"/>
        </w:rPr>
        <w:t xml:space="preserve">: </w:t>
      </w:r>
      <w:r w:rsidR="00F50147" w:rsidRPr="00BB62A7">
        <w:rPr>
          <w:sz w:val="24"/>
          <w:szCs w:val="24"/>
        </w:rPr>
        <w:t>Общество с ограниченной ответственностью «</w:t>
      </w:r>
      <w:proofErr w:type="spellStart"/>
      <w:r w:rsidR="00F50147" w:rsidRPr="00BB62A7">
        <w:rPr>
          <w:sz w:val="24"/>
          <w:szCs w:val="24"/>
        </w:rPr>
        <w:t>ПрофиМед</w:t>
      </w:r>
      <w:proofErr w:type="spellEnd"/>
      <w:r w:rsidR="00F50147">
        <w:rPr>
          <w:sz w:val="24"/>
          <w:szCs w:val="24"/>
        </w:rPr>
        <w:t>»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0671D">
        <w:rPr>
          <w:sz w:val="24"/>
          <w:szCs w:val="24"/>
        </w:rPr>
        <w:t>7305,00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AC38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0671D" w:rsidRPr="00F50147" w:rsidRDefault="0090671D" w:rsidP="0090671D">
      <w:pPr>
        <w:ind w:firstLine="708"/>
        <w:rPr>
          <w:sz w:val="24"/>
          <w:szCs w:val="24"/>
        </w:rPr>
      </w:pPr>
      <w:r w:rsidRPr="00F50147">
        <w:t>Набор для переливания крови</w:t>
      </w:r>
      <w:r>
        <w:t xml:space="preserve">- 24,35 за 1 </w:t>
      </w:r>
      <w:proofErr w:type="spellStart"/>
      <w:proofErr w:type="gramStart"/>
      <w:r>
        <w:t>шт</w:t>
      </w:r>
      <w:proofErr w:type="spellEnd"/>
      <w:proofErr w:type="gramEnd"/>
    </w:p>
    <w:p w:rsidR="00AC3868" w:rsidRPr="00AC3868" w:rsidRDefault="00AC3868" w:rsidP="00AC3868">
      <w:pPr>
        <w:ind w:firstLine="708"/>
        <w:rPr>
          <w:b/>
          <w:sz w:val="24"/>
          <w:szCs w:val="24"/>
        </w:rPr>
      </w:pPr>
    </w:p>
    <w:p w:rsidR="005777FA" w:rsidRPr="00AC3868" w:rsidRDefault="005777FA" w:rsidP="00AC386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AC3868">
        <w:rPr>
          <w:rFonts w:ascii="Times New Roman" w:hAnsi="Times New Roman"/>
          <w:szCs w:val="24"/>
        </w:rPr>
        <w:t>С</w:t>
      </w:r>
      <w:r w:rsidR="00AC3868" w:rsidRPr="005C2ABE">
        <w:rPr>
          <w:rFonts w:ascii="Times New Roman" w:hAnsi="Times New Roman"/>
          <w:szCs w:val="24"/>
        </w:rPr>
        <w:t xml:space="preserve"> момента подписания </w:t>
      </w:r>
      <w:r w:rsidR="00AC3868">
        <w:rPr>
          <w:rFonts w:ascii="Times New Roman" w:hAnsi="Times New Roman"/>
          <w:szCs w:val="24"/>
        </w:rPr>
        <w:t xml:space="preserve">контракта </w:t>
      </w:r>
      <w:r w:rsidR="00AC3868" w:rsidRPr="005C2ABE">
        <w:rPr>
          <w:rFonts w:ascii="Times New Roman" w:hAnsi="Times New Roman"/>
          <w:szCs w:val="24"/>
        </w:rPr>
        <w:t>и действует</w:t>
      </w:r>
      <w:r w:rsidR="0090671D">
        <w:rPr>
          <w:rFonts w:ascii="Times New Roman" w:hAnsi="Times New Roman"/>
          <w:szCs w:val="24"/>
        </w:rPr>
        <w:t xml:space="preserve"> до 31 декабря 2019</w:t>
      </w:r>
      <w:r w:rsidR="00AC3868">
        <w:rPr>
          <w:rFonts w:ascii="Times New Roman" w:hAnsi="Times New Roman"/>
          <w:szCs w:val="24"/>
        </w:rPr>
        <w:t xml:space="preserve"> года.</w:t>
      </w: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90671D">
        <w:rPr>
          <w:b/>
          <w:color w:val="000000"/>
          <w:sz w:val="24"/>
          <w:szCs w:val="24"/>
        </w:rPr>
        <w:t>10097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AC3868" w:rsidRDefault="0041018D" w:rsidP="00AC3868"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0671D" w:rsidRPr="005859E4">
        <w:t>Поставка изделий стоматол</w:t>
      </w:r>
      <w:r w:rsidR="0090671D">
        <w:t>огического назначения (штифты</w:t>
      </w:r>
      <w:r w:rsidR="0090671D" w:rsidRPr="005859E4">
        <w:t>).</w:t>
      </w: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90671D" w:rsidRPr="00C84464" w:rsidRDefault="0090671D" w:rsidP="0090671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260"/>
        <w:gridCol w:w="1276"/>
        <w:gridCol w:w="992"/>
        <w:gridCol w:w="1276"/>
        <w:gridCol w:w="1843"/>
      </w:tblGrid>
      <w:tr w:rsidR="0090671D" w:rsidRPr="00403DBB" w:rsidTr="0090671D">
        <w:trPr>
          <w:trHeight w:val="170"/>
        </w:trPr>
        <w:tc>
          <w:tcPr>
            <w:tcW w:w="1702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Наименование товара, единицы измерения, количество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Конкретные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показатели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предлагаемого товара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Наименование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страны происхождения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товара</w:t>
            </w:r>
          </w:p>
        </w:tc>
        <w:tc>
          <w:tcPr>
            <w:tcW w:w="1276" w:type="dxa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Цена</w:t>
            </w:r>
          </w:p>
        </w:tc>
        <w:tc>
          <w:tcPr>
            <w:tcW w:w="1843" w:type="dxa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Сумма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91"/>
        </w:trPr>
        <w:tc>
          <w:tcPr>
            <w:tcW w:w="17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1. Штифт внутриканальный конический титановый- 30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  <w:r w:rsidRPr="00403DB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Штифт внутриканальный конический титановый.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03DBB">
              <w:rPr>
                <w:bCs/>
                <w:sz w:val="18"/>
                <w:szCs w:val="18"/>
              </w:rPr>
              <w:t>н</w:t>
            </w:r>
            <w:proofErr w:type="gramEnd"/>
            <w:r w:rsidRPr="00403DBB">
              <w:rPr>
                <w:bCs/>
                <w:sz w:val="18"/>
                <w:szCs w:val="18"/>
              </w:rPr>
              <w:t>аличие</w:t>
            </w:r>
          </w:p>
        </w:tc>
        <w:tc>
          <w:tcPr>
            <w:tcW w:w="992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416,00</w:t>
            </w:r>
          </w:p>
        </w:tc>
        <w:tc>
          <w:tcPr>
            <w:tcW w:w="1843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12 480,00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65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Размер головки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1,76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28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Общая длина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.</w:t>
            </w:r>
            <w:r w:rsidRPr="00403DBB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8,25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7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 Упаковка, шт.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2. Штифт внутриканальный конический титановый- 30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  <w:r w:rsidRPr="00403DBB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Штифт внутриканальный конический титановый. 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992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417,00</w:t>
            </w:r>
          </w:p>
        </w:tc>
        <w:tc>
          <w:tcPr>
            <w:tcW w:w="1843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12 510,00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Размер головки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;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1,70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Общая длина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.</w:t>
            </w:r>
            <w:r w:rsidRPr="00403DBB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9,50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Упаковка, </w:t>
            </w:r>
            <w:proofErr w:type="spellStart"/>
            <w:proofErr w:type="gramStart"/>
            <w:r w:rsidRPr="00403DB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3. Штифт внутриканальный стекловолоконный</w:t>
            </w: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Штифт внутриканальный стекловолоконный цилиндрический.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03DBB">
              <w:rPr>
                <w:bCs/>
                <w:sz w:val="18"/>
                <w:szCs w:val="18"/>
              </w:rPr>
              <w:t>н</w:t>
            </w:r>
            <w:proofErr w:type="gramEnd"/>
            <w:r w:rsidRPr="00403DBB">
              <w:rPr>
                <w:bCs/>
                <w:sz w:val="18"/>
                <w:szCs w:val="18"/>
              </w:rPr>
              <w:t>аличие</w:t>
            </w:r>
          </w:p>
        </w:tc>
        <w:tc>
          <w:tcPr>
            <w:tcW w:w="992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Длина, </w:t>
            </w:r>
            <w:proofErr w:type="gramStart"/>
            <w:r w:rsidRPr="00403DB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Диаметр,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1,05</w:t>
            </w:r>
          </w:p>
        </w:tc>
        <w:tc>
          <w:tcPr>
            <w:tcW w:w="992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Упаковка, </w:t>
            </w:r>
            <w:proofErr w:type="spellStart"/>
            <w:proofErr w:type="gramStart"/>
            <w:r w:rsidRPr="00403DB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47"/>
        </w:trPr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19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671D" w:rsidRPr="00403DBB" w:rsidRDefault="0090671D" w:rsidP="004F7CEF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843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1 710,00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7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32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90,01</w:t>
            </w:r>
          </w:p>
        </w:tc>
        <w:tc>
          <w:tcPr>
            <w:tcW w:w="1843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90,01</w:t>
            </w:r>
          </w:p>
        </w:tc>
      </w:tr>
    </w:tbl>
    <w:p w:rsidR="0090671D" w:rsidRDefault="0090671D" w:rsidP="0041018D">
      <w:pPr>
        <w:ind w:firstLine="708"/>
        <w:rPr>
          <w:sz w:val="24"/>
          <w:szCs w:val="24"/>
        </w:rPr>
      </w:pPr>
    </w:p>
    <w:p w:rsidR="0041018D" w:rsidRPr="00541E00" w:rsidRDefault="0041018D" w:rsidP="00D74702">
      <w:pPr>
        <w:ind w:firstLine="708"/>
        <w:jc w:val="both"/>
        <w:rPr>
          <w:sz w:val="24"/>
          <w:szCs w:val="24"/>
        </w:rPr>
      </w:pPr>
      <w:r w:rsidRPr="00AC3868">
        <w:rPr>
          <w:b/>
          <w:sz w:val="24"/>
          <w:szCs w:val="24"/>
        </w:rPr>
        <w:t>Срок поставки товара</w:t>
      </w:r>
      <w:r w:rsidRPr="00386843">
        <w:rPr>
          <w:b/>
          <w:szCs w:val="24"/>
        </w:rPr>
        <w:t>:</w:t>
      </w:r>
      <w:r w:rsidRPr="00386843">
        <w:rPr>
          <w:szCs w:val="24"/>
        </w:rPr>
        <w:t xml:space="preserve"> </w:t>
      </w:r>
      <w:r w:rsidR="00D74702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1018D" w:rsidRPr="00744A77" w:rsidRDefault="0041018D" w:rsidP="00744A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90671D">
        <w:rPr>
          <w:b/>
          <w:sz w:val="24"/>
          <w:szCs w:val="24"/>
        </w:rPr>
        <w:t>29725</w:t>
      </w:r>
      <w:r w:rsidRPr="00FD1B32">
        <w:rPr>
          <w:b/>
          <w:sz w:val="24"/>
          <w:szCs w:val="24"/>
        </w:rPr>
        <w:t>,</w:t>
      </w:r>
      <w:r w:rsidR="0090671D">
        <w:rPr>
          <w:b/>
          <w:sz w:val="24"/>
          <w:szCs w:val="24"/>
        </w:rPr>
        <w:t>8</w:t>
      </w:r>
      <w:r w:rsidR="00D74702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0671D">
        <w:rPr>
          <w:sz w:val="24"/>
          <w:szCs w:val="24"/>
        </w:rPr>
        <w:t>27.08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90671D" w:rsidRPr="00A16AA1">
        <w:rPr>
          <w:sz w:val="24"/>
          <w:szCs w:val="24"/>
        </w:rPr>
        <w:t>Общество с ограниченной ответственностью</w:t>
      </w:r>
      <w:r w:rsidR="0090671D" w:rsidRPr="00A16AA1">
        <w:rPr>
          <w:bCs/>
          <w:iCs/>
          <w:sz w:val="24"/>
          <w:szCs w:val="24"/>
        </w:rPr>
        <w:t xml:space="preserve"> </w:t>
      </w:r>
      <w:r w:rsidR="0090671D" w:rsidRPr="00A16AA1">
        <w:rPr>
          <w:sz w:val="24"/>
          <w:szCs w:val="24"/>
        </w:rPr>
        <w:t>«</w:t>
      </w:r>
      <w:proofErr w:type="spellStart"/>
      <w:r w:rsidR="0090671D" w:rsidRPr="00A16AA1">
        <w:rPr>
          <w:sz w:val="24"/>
          <w:szCs w:val="24"/>
        </w:rPr>
        <w:t>ВелесМед</w:t>
      </w:r>
      <w:proofErr w:type="spellEnd"/>
      <w:r w:rsidR="0090671D" w:rsidRPr="00A16AA1">
        <w:rPr>
          <w:sz w:val="24"/>
          <w:szCs w:val="24"/>
        </w:rPr>
        <w:t>»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90671D">
        <w:rPr>
          <w:b/>
          <w:sz w:val="24"/>
          <w:szCs w:val="24"/>
        </w:rPr>
        <w:t xml:space="preserve"> </w:t>
      </w:r>
      <w:r w:rsidR="0090671D" w:rsidRPr="0090671D">
        <w:rPr>
          <w:sz w:val="24"/>
          <w:szCs w:val="24"/>
        </w:rPr>
        <w:t>26790,01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0671D" w:rsidRPr="00C84464" w:rsidRDefault="0090671D" w:rsidP="0090671D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>« Спецификация поставляемых товаров»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693"/>
        <w:gridCol w:w="1417"/>
        <w:gridCol w:w="1418"/>
        <w:gridCol w:w="1417"/>
        <w:gridCol w:w="1560"/>
      </w:tblGrid>
      <w:tr w:rsidR="0090671D" w:rsidRPr="00403DBB" w:rsidTr="0090671D">
        <w:trPr>
          <w:trHeight w:val="170"/>
        </w:trPr>
        <w:tc>
          <w:tcPr>
            <w:tcW w:w="1844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Наименование товара, единицы измерения, количество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Конкретные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показатели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предлагаемого товара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Наименование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страны происхождения</w:t>
            </w:r>
          </w:p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товара</w:t>
            </w:r>
          </w:p>
        </w:tc>
        <w:tc>
          <w:tcPr>
            <w:tcW w:w="1417" w:type="dxa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Цена</w:t>
            </w:r>
          </w:p>
        </w:tc>
        <w:tc>
          <w:tcPr>
            <w:tcW w:w="1560" w:type="dxa"/>
            <w:vAlign w:val="center"/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Сумма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91"/>
        </w:trPr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1. Штифт внутриканальный конический титановый- 30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  <w:r w:rsidRPr="00403DBB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Штифт внутриканальный конический титановый.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416,00</w:t>
            </w:r>
          </w:p>
        </w:tc>
        <w:tc>
          <w:tcPr>
            <w:tcW w:w="1560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12 480,00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65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Размер головки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1,76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528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Общая длина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.</w:t>
            </w:r>
            <w:r w:rsidRPr="00403DB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8,25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7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 Упаковка, шт.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2. Штифт внутриканальный конический титановый- 30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  <w:r w:rsidRPr="00403DBB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Штифт внутриканальный конический титановый. 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bCs/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417,00</w:t>
            </w:r>
          </w:p>
        </w:tc>
        <w:tc>
          <w:tcPr>
            <w:tcW w:w="1560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12 510,00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Размер головки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;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1,70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Общая длина штифта,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  <w:r w:rsidRPr="00403DBB">
              <w:rPr>
                <w:sz w:val="18"/>
                <w:szCs w:val="18"/>
              </w:rPr>
              <w:t>.</w:t>
            </w:r>
            <w:r w:rsidRPr="00403DB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9,50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Упаковка, </w:t>
            </w:r>
            <w:proofErr w:type="spellStart"/>
            <w:proofErr w:type="gramStart"/>
            <w:r w:rsidRPr="00403DB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3. Штифт внутриканальный стекловолоконный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Штифт внутриканальный стекловолоконный цилиндрический.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proofErr w:type="gramStart"/>
            <w:r w:rsidRPr="00403DBB">
              <w:rPr>
                <w:bCs/>
                <w:sz w:val="18"/>
                <w:szCs w:val="18"/>
              </w:rPr>
              <w:t>н</w:t>
            </w:r>
            <w:proofErr w:type="gramEnd"/>
            <w:r w:rsidRPr="00403DBB">
              <w:rPr>
                <w:bCs/>
                <w:sz w:val="18"/>
                <w:szCs w:val="18"/>
              </w:rPr>
              <w:t>аличие</w:t>
            </w:r>
          </w:p>
        </w:tc>
        <w:tc>
          <w:tcPr>
            <w:tcW w:w="1418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Длина, </w:t>
            </w:r>
            <w:proofErr w:type="gramStart"/>
            <w:r w:rsidRPr="00403DBB">
              <w:rPr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Диаметр, </w:t>
            </w:r>
            <w:proofErr w:type="gramStart"/>
            <w:r w:rsidRPr="00403DBB">
              <w:rPr>
                <w:sz w:val="18"/>
                <w:szCs w:val="18"/>
              </w:rPr>
              <w:t>мм</w:t>
            </w:r>
            <w:proofErr w:type="gramEnd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1,05</w:t>
            </w:r>
          </w:p>
        </w:tc>
        <w:tc>
          <w:tcPr>
            <w:tcW w:w="1418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Упаковка, </w:t>
            </w:r>
            <w:proofErr w:type="spellStart"/>
            <w:proofErr w:type="gramStart"/>
            <w:r w:rsidRPr="00403DBB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47"/>
        </w:trPr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19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0671D" w:rsidRPr="00403DBB" w:rsidRDefault="0090671D" w:rsidP="004F7CEF">
            <w:pPr>
              <w:pStyle w:val="ConsPlus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560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1 710,00</w:t>
            </w:r>
          </w:p>
        </w:tc>
      </w:tr>
      <w:tr w:rsidR="0090671D" w:rsidRPr="00403DBB" w:rsidTr="0090671D">
        <w:tblPrEx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jc w:val="center"/>
              <w:rPr>
                <w:sz w:val="18"/>
                <w:szCs w:val="18"/>
              </w:rPr>
            </w:pPr>
            <w:r w:rsidRPr="00403DBB">
              <w:rPr>
                <w:sz w:val="18"/>
                <w:szCs w:val="18"/>
              </w:rPr>
              <w:t xml:space="preserve">1 </w:t>
            </w:r>
            <w:proofErr w:type="spellStart"/>
            <w:r w:rsidRPr="00403DBB">
              <w:rPr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671D" w:rsidRPr="00403DBB" w:rsidRDefault="0090671D" w:rsidP="004F7C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671D" w:rsidRPr="00403DBB" w:rsidRDefault="0090671D" w:rsidP="004F7CEF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90,01</w:t>
            </w:r>
          </w:p>
        </w:tc>
        <w:tc>
          <w:tcPr>
            <w:tcW w:w="1560" w:type="dxa"/>
            <w:vAlign w:val="center"/>
          </w:tcPr>
          <w:p w:rsidR="0090671D" w:rsidRPr="00403DBB" w:rsidRDefault="0090671D" w:rsidP="004F7CEF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3DBB">
              <w:rPr>
                <w:rFonts w:ascii="Times New Roman" w:hAnsi="Times New Roman"/>
                <w:sz w:val="18"/>
                <w:szCs w:val="18"/>
              </w:rPr>
              <w:t>90,01</w:t>
            </w:r>
          </w:p>
        </w:tc>
      </w:tr>
    </w:tbl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744A77" w:rsidRPr="001830A5" w:rsidRDefault="0041018D" w:rsidP="00744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A77">
        <w:rPr>
          <w:rFonts w:ascii="Times New Roman" w:hAnsi="Times New Roman" w:cs="Times New Roman"/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="00744A77" w:rsidRPr="001830A5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="00744A77" w:rsidRPr="001830A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744A77" w:rsidRPr="001830A5">
        <w:rPr>
          <w:rFonts w:ascii="Times New Roman" w:hAnsi="Times New Roman" w:cs="Times New Roman"/>
          <w:sz w:val="24"/>
          <w:szCs w:val="24"/>
        </w:rPr>
        <w:t>упает в силу с</w:t>
      </w:r>
      <w:r w:rsidR="00744A77">
        <w:rPr>
          <w:rFonts w:ascii="Times New Roman" w:hAnsi="Times New Roman" w:cs="Times New Roman"/>
          <w:sz w:val="24"/>
          <w:szCs w:val="24"/>
        </w:rPr>
        <w:t xml:space="preserve"> момента подписания и действует до 31 июля  2020 года</w:t>
      </w:r>
      <w:r w:rsidR="00744A77" w:rsidRPr="001830A5">
        <w:rPr>
          <w:rFonts w:ascii="Times New Roman" w:hAnsi="Times New Roman" w:cs="Times New Roman"/>
          <w:sz w:val="24"/>
          <w:szCs w:val="24"/>
        </w:rPr>
        <w:t>.</w:t>
      </w:r>
    </w:p>
    <w:p w:rsidR="0041018D" w:rsidRPr="009D5F2B" w:rsidRDefault="0041018D" w:rsidP="00744A77">
      <w:pPr>
        <w:ind w:firstLine="709"/>
        <w:jc w:val="both"/>
        <w:rPr>
          <w:szCs w:val="24"/>
        </w:rPr>
      </w:pPr>
    </w:p>
    <w:p w:rsidR="0041018D" w:rsidRDefault="0041018D" w:rsidP="0041018D">
      <w:pPr>
        <w:ind w:firstLine="709"/>
        <w:jc w:val="both"/>
        <w:rPr>
          <w:sz w:val="24"/>
          <w:szCs w:val="24"/>
        </w:rPr>
      </w:pP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90671D">
        <w:rPr>
          <w:b/>
          <w:color w:val="000000"/>
          <w:sz w:val="24"/>
          <w:szCs w:val="24"/>
        </w:rPr>
        <w:t>10180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D74702" w:rsidRPr="00D74702" w:rsidRDefault="0041018D" w:rsidP="00D74702">
      <w:pPr>
        <w:pStyle w:val="ad"/>
        <w:jc w:val="center"/>
        <w:rPr>
          <w:rFonts w:ascii="Times New Roman" w:hAnsi="Times New Roman" w:cs="Times New Roman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0671D" w:rsidRPr="005859E4">
        <w:rPr>
          <w:rFonts w:ascii="Times New Roman" w:hAnsi="Times New Roman" w:cs="Times New Roman"/>
        </w:rPr>
        <w:t>Поставка изделий стоматол</w:t>
      </w:r>
      <w:r w:rsidR="0090671D">
        <w:rPr>
          <w:rFonts w:ascii="Times New Roman" w:hAnsi="Times New Roman" w:cs="Times New Roman"/>
        </w:rPr>
        <w:t>огического назначения (инструменты</w:t>
      </w:r>
      <w:r w:rsidR="0090671D" w:rsidRPr="005859E4">
        <w:rPr>
          <w:rFonts w:ascii="Times New Roman" w:hAnsi="Times New Roman" w:cs="Times New Roman"/>
        </w:rPr>
        <w:t>).</w:t>
      </w:r>
    </w:p>
    <w:p w:rsidR="0041018D" w:rsidRPr="00D74702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-13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- 13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- 1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-5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- 3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>Инструмент для подготовки зубного канала "</w:t>
      </w:r>
      <w:proofErr w:type="spellStart"/>
      <w:r w:rsidRPr="00717E7D">
        <w:rPr>
          <w:color w:val="000000"/>
        </w:rPr>
        <w:t>Каналонаполнители</w:t>
      </w:r>
      <w:proofErr w:type="spellEnd"/>
      <w:r w:rsidRPr="00717E7D">
        <w:rPr>
          <w:color w:val="000000"/>
        </w:rPr>
        <w:t xml:space="preserve"> КНУ (для углового наконечника) - 50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</w:t>
      </w:r>
      <w:proofErr w:type="spellStart"/>
      <w:r w:rsidRPr="00717E7D">
        <w:rPr>
          <w:color w:val="000000"/>
        </w:rPr>
        <w:t>эндодонтические</w:t>
      </w:r>
      <w:proofErr w:type="spellEnd"/>
      <w:r w:rsidRPr="00717E7D">
        <w:rPr>
          <w:color w:val="000000"/>
        </w:rPr>
        <w:t xml:space="preserve"> для </w:t>
      </w:r>
      <w:proofErr w:type="spellStart"/>
      <w:r w:rsidRPr="00717E7D">
        <w:rPr>
          <w:color w:val="000000"/>
        </w:rPr>
        <w:t>обтурации</w:t>
      </w:r>
      <w:proofErr w:type="spellEnd"/>
      <w:r w:rsidRPr="00717E7D">
        <w:rPr>
          <w:color w:val="000000"/>
        </w:rPr>
        <w:t xml:space="preserve"> "</w:t>
      </w:r>
      <w:proofErr w:type="spellStart"/>
      <w:r w:rsidRPr="00717E7D">
        <w:rPr>
          <w:color w:val="000000"/>
        </w:rPr>
        <w:t>Каналонаполнители</w:t>
      </w:r>
      <w:proofErr w:type="spellEnd"/>
      <w:r w:rsidRPr="00717E7D">
        <w:rPr>
          <w:color w:val="000000"/>
        </w:rPr>
        <w:t xml:space="preserve"> КНУ (для углового наконечника) - 20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- 1 </w:t>
      </w:r>
      <w:proofErr w:type="spellStart"/>
      <w:r w:rsidRPr="00717E7D">
        <w:rPr>
          <w:color w:val="000000"/>
        </w:rPr>
        <w:t>упак</w:t>
      </w:r>
      <w:proofErr w:type="spellEnd"/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>Зеркало стоматологическое без ручки (*) - 30 шт.</w:t>
      </w:r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прямой "Наконечник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прямой НПМ-40-02" - 2 шт.</w:t>
      </w:r>
    </w:p>
    <w:p w:rsidR="0090671D" w:rsidRDefault="0090671D" w:rsidP="0041018D">
      <w:pPr>
        <w:ind w:firstLine="708"/>
        <w:rPr>
          <w:color w:val="000000"/>
        </w:rPr>
      </w:pPr>
      <w:r w:rsidRPr="00717E7D">
        <w:rPr>
          <w:color w:val="000000"/>
        </w:rPr>
        <w:t xml:space="preserve">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угловой "Наконечник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угловой НУПМ-40 с поворотной защелкой" - 3 шт.</w:t>
      </w:r>
    </w:p>
    <w:p w:rsidR="0090671D" w:rsidRDefault="0090671D" w:rsidP="0041018D">
      <w:pPr>
        <w:ind w:firstLine="708"/>
        <w:rPr>
          <w:sz w:val="24"/>
          <w:szCs w:val="24"/>
        </w:rPr>
      </w:pPr>
      <w:r w:rsidRPr="00717E7D">
        <w:rPr>
          <w:color w:val="000000"/>
        </w:rPr>
        <w:t>Наконечник стоматологический турбинный фрикционный "Наконечник стоматологический турбинный со стандартной головкой НСТ-300-"Сапфир" - 3 шт.</w:t>
      </w:r>
    </w:p>
    <w:p w:rsidR="00D74702" w:rsidRPr="00F463AE" w:rsidRDefault="00D74702" w:rsidP="00D74702">
      <w:pPr>
        <w:jc w:val="center"/>
        <w:rPr>
          <w:b/>
          <w:bCs/>
          <w:color w:val="FF0000"/>
          <w:sz w:val="10"/>
          <w:szCs w:val="10"/>
        </w:rPr>
      </w:pPr>
    </w:p>
    <w:p w:rsidR="003A7C1E" w:rsidRPr="003A7C1E" w:rsidRDefault="0041018D" w:rsidP="003A7C1E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41018D" w:rsidRPr="003A7C1E" w:rsidRDefault="0041018D" w:rsidP="003A7C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8662C0">
        <w:rPr>
          <w:b/>
          <w:sz w:val="24"/>
          <w:szCs w:val="24"/>
        </w:rPr>
        <w:t>60944,7</w:t>
      </w:r>
      <w:r w:rsidR="003A7C1E">
        <w:rPr>
          <w:b/>
          <w:sz w:val="24"/>
          <w:szCs w:val="24"/>
        </w:rPr>
        <w:t>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662C0">
        <w:rPr>
          <w:sz w:val="24"/>
          <w:szCs w:val="24"/>
        </w:rPr>
        <w:t>27</w:t>
      </w:r>
      <w:r w:rsidR="00D74702">
        <w:rPr>
          <w:sz w:val="24"/>
          <w:szCs w:val="24"/>
        </w:rPr>
        <w:t>.0</w:t>
      </w:r>
      <w:r w:rsidR="008662C0">
        <w:rPr>
          <w:sz w:val="24"/>
          <w:szCs w:val="24"/>
        </w:rPr>
        <w:t>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8662C0" w:rsidRPr="007A61AD">
        <w:rPr>
          <w:color w:val="000000"/>
          <w:sz w:val="24"/>
          <w:szCs w:val="24"/>
        </w:rPr>
        <w:t>ОБЩЕСТВО С ОГРАНИЧЕННОЙ ОТВЕТСТВЕННОСТЬЮ "МЕДЛАЙФ"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662C0">
        <w:rPr>
          <w:sz w:val="24"/>
          <w:szCs w:val="24"/>
        </w:rPr>
        <w:t xml:space="preserve">33085, 28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662C0" w:rsidRDefault="0041018D" w:rsidP="008662C0">
      <w:pPr>
        <w:ind w:firstLine="708"/>
        <w:rPr>
          <w:color w:val="000000"/>
        </w:rPr>
      </w:pPr>
      <w:r w:rsidRPr="00B66B84">
        <w:rPr>
          <w:szCs w:val="24"/>
        </w:rPr>
        <w:t xml:space="preserve"> </w:t>
      </w:r>
      <w:r w:rsidR="008662C0" w:rsidRPr="00717E7D">
        <w:rPr>
          <w:color w:val="000000"/>
        </w:rPr>
        <w:t>Инстр</w:t>
      </w:r>
      <w:r w:rsidR="008662C0">
        <w:rPr>
          <w:color w:val="000000"/>
        </w:rPr>
        <w:t xml:space="preserve">ументы стоматологические (*) -150,00 за 1 </w:t>
      </w:r>
      <w:r w:rsidR="008662C0" w:rsidRPr="00717E7D">
        <w:rPr>
          <w:color w:val="000000"/>
        </w:rPr>
        <w:t xml:space="preserve"> </w:t>
      </w:r>
      <w:proofErr w:type="spellStart"/>
      <w:r w:rsidR="008662C0"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</w:t>
      </w:r>
      <w:r>
        <w:rPr>
          <w:color w:val="000000"/>
        </w:rPr>
        <w:t xml:space="preserve">150,00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>Инструмент</w:t>
      </w:r>
      <w:r>
        <w:rPr>
          <w:color w:val="000000"/>
        </w:rPr>
        <w:t xml:space="preserve">ы стоматологические (*) – 166,00 за 1 </w:t>
      </w:r>
      <w:proofErr w:type="spellStart"/>
      <w:r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>Инструменты стоматологические (*) -</w:t>
      </w:r>
      <w:r>
        <w:rPr>
          <w:color w:val="000000"/>
        </w:rPr>
        <w:t xml:space="preserve">150,00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- </w:t>
      </w:r>
      <w:r>
        <w:rPr>
          <w:color w:val="000000"/>
        </w:rPr>
        <w:t xml:space="preserve">430,00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>Инструмент для подготовки зубного канала "</w:t>
      </w:r>
      <w:proofErr w:type="spellStart"/>
      <w:r w:rsidRPr="00717E7D">
        <w:rPr>
          <w:color w:val="000000"/>
        </w:rPr>
        <w:t>Каналонаполнители</w:t>
      </w:r>
      <w:proofErr w:type="spellEnd"/>
      <w:r w:rsidRPr="00717E7D">
        <w:rPr>
          <w:color w:val="000000"/>
        </w:rPr>
        <w:t xml:space="preserve"> КНУ (для углового наконечника)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57,90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</w:t>
      </w:r>
      <w:proofErr w:type="spellStart"/>
      <w:r w:rsidRPr="00717E7D">
        <w:rPr>
          <w:color w:val="000000"/>
        </w:rPr>
        <w:t>эндодонтические</w:t>
      </w:r>
      <w:proofErr w:type="spellEnd"/>
      <w:r w:rsidRPr="00717E7D">
        <w:rPr>
          <w:color w:val="000000"/>
        </w:rPr>
        <w:t xml:space="preserve"> для </w:t>
      </w:r>
      <w:proofErr w:type="spellStart"/>
      <w:r w:rsidRPr="00717E7D">
        <w:rPr>
          <w:color w:val="000000"/>
        </w:rPr>
        <w:t>обтурации</w:t>
      </w:r>
      <w:proofErr w:type="spellEnd"/>
      <w:r w:rsidRPr="00717E7D">
        <w:rPr>
          <w:color w:val="000000"/>
        </w:rPr>
        <w:t xml:space="preserve"> "</w:t>
      </w:r>
      <w:proofErr w:type="spellStart"/>
      <w:r w:rsidRPr="00717E7D">
        <w:rPr>
          <w:color w:val="000000"/>
        </w:rPr>
        <w:t>Каналонаполнители</w:t>
      </w:r>
      <w:proofErr w:type="spellEnd"/>
      <w:r w:rsidRPr="00717E7D">
        <w:rPr>
          <w:color w:val="000000"/>
        </w:rPr>
        <w:t xml:space="preserve"> КНУ (для углового наконечника)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62,80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Инструменты стоматологические (*)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280,00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Зеркало стоматологическое без ручки (*)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63,00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прямой "Наконечник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прямой НПМ-40-02"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2760,14 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color w:val="000000"/>
        </w:rPr>
      </w:pPr>
      <w:r w:rsidRPr="00717E7D">
        <w:rPr>
          <w:color w:val="000000"/>
        </w:rPr>
        <w:t xml:space="preserve">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угловой "Наконечник для </w:t>
      </w:r>
      <w:proofErr w:type="spellStart"/>
      <w:r w:rsidRPr="00717E7D">
        <w:rPr>
          <w:color w:val="000000"/>
        </w:rPr>
        <w:t>микромоторов</w:t>
      </w:r>
      <w:proofErr w:type="spellEnd"/>
      <w:r w:rsidRPr="00717E7D">
        <w:rPr>
          <w:color w:val="000000"/>
        </w:rPr>
        <w:t xml:space="preserve"> угловой НУПМ-40 с поворотной защелкой"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3105,00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8662C0" w:rsidRDefault="008662C0" w:rsidP="008662C0">
      <w:pPr>
        <w:ind w:firstLine="708"/>
        <w:rPr>
          <w:sz w:val="24"/>
          <w:szCs w:val="24"/>
        </w:rPr>
      </w:pPr>
      <w:r w:rsidRPr="00717E7D">
        <w:rPr>
          <w:color w:val="000000"/>
        </w:rPr>
        <w:t xml:space="preserve">Наконечник стоматологический турбинный фрикционный "Наконечник стоматологический турбинный со стандартной головкой НСТ-300-"Сапфир" </w:t>
      </w:r>
      <w:r>
        <w:rPr>
          <w:color w:val="000000"/>
        </w:rPr>
        <w:t>–</w:t>
      </w:r>
      <w:r w:rsidRPr="00717E7D">
        <w:rPr>
          <w:color w:val="000000"/>
        </w:rPr>
        <w:t xml:space="preserve"> </w:t>
      </w:r>
      <w:r>
        <w:rPr>
          <w:color w:val="000000"/>
        </w:rPr>
        <w:t xml:space="preserve">1941,00 за 1 </w:t>
      </w:r>
      <w:r w:rsidRPr="00717E7D">
        <w:rPr>
          <w:color w:val="000000"/>
        </w:rPr>
        <w:t xml:space="preserve"> </w:t>
      </w:r>
      <w:proofErr w:type="spellStart"/>
      <w:r w:rsidRPr="00717E7D">
        <w:rPr>
          <w:color w:val="000000"/>
        </w:rPr>
        <w:t>упак</w:t>
      </w:r>
      <w:proofErr w:type="spellEnd"/>
    </w:p>
    <w:p w:rsidR="0041018D" w:rsidRPr="000C39CC" w:rsidRDefault="0041018D" w:rsidP="008662C0">
      <w:pPr>
        <w:ind w:firstLine="708"/>
        <w:rPr>
          <w:sz w:val="24"/>
          <w:szCs w:val="24"/>
        </w:rPr>
      </w:pPr>
    </w:p>
    <w:p w:rsidR="005777FA" w:rsidRPr="009D5F2B" w:rsidRDefault="0041018D" w:rsidP="000C39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9457CC">
        <w:rPr>
          <w:rFonts w:ascii="Times New Roman" w:hAnsi="Times New Roman"/>
          <w:szCs w:val="24"/>
        </w:rPr>
        <w:t xml:space="preserve"> </w:t>
      </w:r>
      <w:r w:rsidR="000C39CC">
        <w:rPr>
          <w:rFonts w:ascii="Times New Roman" w:hAnsi="Times New Roman"/>
          <w:szCs w:val="24"/>
        </w:rPr>
        <w:t>С</w:t>
      </w:r>
      <w:r w:rsidR="000C39CC" w:rsidRPr="005C2ABE">
        <w:rPr>
          <w:rFonts w:ascii="Times New Roman" w:hAnsi="Times New Roman"/>
          <w:szCs w:val="24"/>
        </w:rPr>
        <w:t xml:space="preserve"> момента подписания </w:t>
      </w:r>
      <w:r w:rsidR="000C39CC">
        <w:rPr>
          <w:rFonts w:ascii="Times New Roman" w:hAnsi="Times New Roman"/>
          <w:szCs w:val="24"/>
        </w:rPr>
        <w:t xml:space="preserve">контракта </w:t>
      </w:r>
      <w:r w:rsidR="000C39CC" w:rsidRPr="005C2ABE">
        <w:rPr>
          <w:rFonts w:ascii="Times New Roman" w:hAnsi="Times New Roman"/>
          <w:szCs w:val="24"/>
        </w:rPr>
        <w:t>и действует</w:t>
      </w:r>
      <w:r w:rsidR="008662C0">
        <w:rPr>
          <w:rFonts w:ascii="Times New Roman" w:hAnsi="Times New Roman"/>
          <w:szCs w:val="24"/>
        </w:rPr>
        <w:t xml:space="preserve"> до 31 июля</w:t>
      </w:r>
      <w:r w:rsidR="000C39CC">
        <w:rPr>
          <w:rFonts w:ascii="Times New Roman" w:hAnsi="Times New Roman"/>
          <w:szCs w:val="24"/>
        </w:rPr>
        <w:t xml:space="preserve"> 2020 года.</w:t>
      </w:r>
    </w:p>
    <w:p w:rsidR="009457CC" w:rsidRPr="00AB12E5" w:rsidRDefault="009457CC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8662C0">
        <w:rPr>
          <w:b/>
          <w:color w:val="000000"/>
          <w:sz w:val="24"/>
          <w:szCs w:val="24"/>
        </w:rPr>
        <w:t>10213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4F7CEF" w:rsidRPr="00A7705C" w:rsidRDefault="009457CC" w:rsidP="004F7CE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F7CEF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4F7CEF" w:rsidRPr="00A7705C">
        <w:rPr>
          <w:rFonts w:ascii="Times New Roman" w:hAnsi="Times New Roman" w:cs="Times New Roman"/>
        </w:rPr>
        <w:t xml:space="preserve">Поставка </w:t>
      </w:r>
      <w:r w:rsidR="004F7CEF">
        <w:rPr>
          <w:rFonts w:ascii="Times New Roman" w:hAnsi="Times New Roman" w:cs="Times New Roman"/>
        </w:rPr>
        <w:t>изделий стоматологического назначения.</w:t>
      </w:r>
    </w:p>
    <w:p w:rsidR="009457CC" w:rsidRPr="000C39CC" w:rsidRDefault="009457CC" w:rsidP="000C39CC"/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 xml:space="preserve">Количество поставляемого товара, объем выполняемой работы, </w:t>
      </w:r>
      <w:r w:rsidRPr="00AB12E5">
        <w:rPr>
          <w:b/>
          <w:sz w:val="24"/>
          <w:szCs w:val="24"/>
        </w:rPr>
        <w:lastRenderedPageBreak/>
        <w:t>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4F7CEF" w:rsidRDefault="004F7CEF" w:rsidP="004F7CEF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4F7CEF" w:rsidRPr="00030AEE" w:rsidRDefault="004F7CEF" w:rsidP="004F7CEF">
      <w:pPr>
        <w:pStyle w:val="ad"/>
        <w:suppressAutoHyphens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3566"/>
        <w:gridCol w:w="1134"/>
        <w:gridCol w:w="1701"/>
        <w:gridCol w:w="992"/>
        <w:gridCol w:w="993"/>
      </w:tblGrid>
      <w:tr w:rsidR="004F7CEF" w:rsidRPr="00F302C0" w:rsidTr="004F7CEF">
        <w:trPr>
          <w:trHeight w:val="170"/>
        </w:trPr>
        <w:tc>
          <w:tcPr>
            <w:tcW w:w="2127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Наименование товара, единицы измерения, количество</w:t>
            </w:r>
          </w:p>
        </w:tc>
        <w:tc>
          <w:tcPr>
            <w:tcW w:w="3566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Конкретные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показатели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предлагаемого товара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Наименование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страны происхождения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Цена</w:t>
            </w:r>
          </w:p>
        </w:tc>
        <w:tc>
          <w:tcPr>
            <w:tcW w:w="993" w:type="dxa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Сумма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1.Цемент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стеклоиономерный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стоматологический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Стомафил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Цемент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стеклоиономерный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стоматологический на основе тонкодисперсного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алюмофторсиликатного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стекла и водного раствора полиакриловой кислоты. Обладает химической адгезией к дентину и эмали. Обеспечивает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противокариесный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эффект за счет пролонгированного высвобождения фтора.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1 460,00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17 520,00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 порошок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Жидкость,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2.Материал композитный стоматологический химического отверждения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Даймондбрайт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rPr>
                <w:rFonts w:eastAsia="Calibri"/>
                <w:b/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Материал композитный стоматологический химического отверждения используется для  реставрационных работ по III,V классам; избирательн</w:t>
            </w:r>
            <w:proofErr w:type="gramStart"/>
            <w:r w:rsidRPr="00F302C0">
              <w:rPr>
                <w:sz w:val="24"/>
                <w:szCs w:val="24"/>
              </w:rPr>
              <w:t>о-</w:t>
            </w:r>
            <w:proofErr w:type="gramEnd"/>
            <w:r w:rsidRPr="00F302C0">
              <w:rPr>
                <w:sz w:val="24"/>
                <w:szCs w:val="24"/>
              </w:rPr>
              <w:t xml:space="preserve"> эстетическом пломбировании IV класса; работы I класса в </w:t>
            </w:r>
            <w:proofErr w:type="spellStart"/>
            <w:r w:rsidRPr="00F302C0">
              <w:rPr>
                <w:sz w:val="24"/>
                <w:szCs w:val="24"/>
              </w:rPr>
              <w:t>премолярах</w:t>
            </w:r>
            <w:proofErr w:type="spellEnd"/>
            <w:r w:rsidRPr="00F302C0">
              <w:rPr>
                <w:sz w:val="24"/>
                <w:szCs w:val="24"/>
              </w:rPr>
              <w:t>.</w:t>
            </w:r>
            <w:r w:rsidRPr="00F302C0">
              <w:rPr>
                <w:sz w:val="24"/>
                <w:szCs w:val="24"/>
              </w:rPr>
              <w:br/>
              <w:t>Упаковка</w:t>
            </w:r>
            <w:r w:rsidRPr="00F302C0">
              <w:rPr>
                <w:sz w:val="24"/>
                <w:szCs w:val="24"/>
              </w:rPr>
              <w:br/>
              <w:t>- аксессуары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835,00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10 020,00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основа,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катализатор,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адгезив-основа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адгезив-катализатор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- травильная жидкость,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3.Материал стоматологический для лечения и пломбирования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Иодотин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стоматологический для лечения и пломбирования корневых каналов зубов при несформированном апексе, а также при резорбции костной ткани корня. Состав: йодоформ, гидроокись кальция,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наполнитель,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пастообразователь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260,00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1 040,00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Шприц,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Пластиковые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эндодонтические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канюли с загнутым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носиком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,ш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4.Материал стоматологический пломбировочный двухкомпонентный антисептический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пломбирования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Тиэдент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пломбирования корневых каналов зубов при лечении всех форм периодонтитов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тимолиодида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десаметазона</w:t>
            </w:r>
            <w:proofErr w:type="spellEnd"/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окиси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цинка,ацитата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гидрокортизона и эвгенола.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480,00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1 440,00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 порошка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Упаковка, мл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5.Лак стоматологический фторсодержащий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Лак стоматологический фторсодержащий  применяется как профилактическое средство при прогрессивном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праксимальном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кариесе, при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гиперстезии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зубов, при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некариозных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поражениях зубов, при обработке зубов под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искуственные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коронки, как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парадонтальная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повязка после проведения профессиональной гигиены полости рта; в детской стоматологии - при профилактике кариеса с момента прорезывания зубов. Представляет собой жидкость бурого цвета с характерным запахом хвои, изготовленная на основе природных смол и бальзамов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155,00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310,00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 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6.Материал для временных пломб Дентин-паста,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6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для временных пломб -  материал применяется для покрытия лекарственного препарата в кариозной полости зуба в процессе лечения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неосложненного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кариеса. 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Материал не должен окрашивать ткани зуба.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59,00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354,00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Упаковка,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7.Материал стоматологический на основе стабилизированного раствора гипохлорита натрия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Белодез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фл,4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Стабилизированный раствор гипохлорита натрия 3%, растворяет органическую основу дентина: как живые (химически фиксированные) так 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некротизированные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ткани. Обладает бактерицидным действием на все грамположительные и грамотрицательные микроорганизмы, грибы и вирусы без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цитотоксичности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уровне апекса.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Воздействует на живые ткани и  поражение витальных клеток.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105,00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8.Двухкомпонентная защитная подкладка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Кальципульпин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Плюс,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Двухкомпонентная защитная подкладка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кальция применяется в случаях прямого и непрямого покрытия пульпы и изоляции полости зуба от материалов для пломбирования.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Состав: двухкомпонентная система (паста +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при смешивании которой образуется однородная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легковносимая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полость паста.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Паста -  А: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наполнитель, пластификатор;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Паста - В: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вольфрамат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кальция фосфат, салициловый полимер, наполнитель.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695,29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695,29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Упаковка: паста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Упаковка: паста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9.Комплект жидкостей для обработки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ЭндоЖи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№2,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7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Комплект жидкостей для обработки корневых каналов зубов: жидкость для расширения и выявления устья каналов зубов.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90,00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10.Комплект жидкостей для обработки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ЭндоЖи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№1, фл,5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Комплект жидкостей для обработки корневых каналов зубов: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жидкостьдля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высушивания и обезжиривания каналов зубов, не содержит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диэтилового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эфира, этанола.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90,00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450,00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11.Набор стоматологический для обработки эмали, удаления зубного камня и полирования пломб из композитных материалов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Полирен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 стоматологический для обработки эмали, удаления зубного камня и полирования пломб из композитных материалов - паста, содержит кислотный компонент и абразив.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315,00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12.Набор стоматологический для обработки эмали, удаления зубного камня и полирования пломб из композитных материалов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Полирен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Набор стоматологический для обработки эмали, удаления зубного камня и полирования пломб из композитных материалов: паста для обработки эмали перед реставрацией или отбеливанием зубов, перед проведением герметизации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фиссур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удаления мягкого налета, пелликул, а также для профилактики кариеса (профессиональная чистка зубов)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нтисептические добавки,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биоинертный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наполнитель,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пастообразователь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110,00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Содержит: в качестве абразива  диоксид кремния размером частиц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30-50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выпуска: шприц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13.Паста для временного пломбирования или для компресса 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лечебно-защитного при локальной форме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пародонтита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Парасепт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Паста для временного пломбирования или для компресса лечебно-защитного при локальной форме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пародонтита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содержащая волокна в своей массе, приготовлена на основе порошка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цинксульфатного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цемента, не содержит эвгенола. Обладает антибактериальными и противовоспалительными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аличие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135,00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675,00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Упаковка,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F7CEF" w:rsidRDefault="004F7CEF" w:rsidP="009457CC">
      <w:pPr>
        <w:ind w:firstLine="708"/>
        <w:rPr>
          <w:sz w:val="24"/>
          <w:szCs w:val="24"/>
        </w:rPr>
      </w:pPr>
    </w:p>
    <w:p w:rsidR="009457CC" w:rsidRPr="000C39CC" w:rsidRDefault="009457CC" w:rsidP="000C39CC">
      <w:pPr>
        <w:pStyle w:val="23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4B5F09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0C39CC" w:rsidRPr="001830A5">
        <w:rPr>
          <w:rFonts w:ascii="Times New Roman" w:hAnsi="Times New Roman"/>
          <w:szCs w:val="24"/>
        </w:rPr>
        <w:t xml:space="preserve">Поставка Товара осуществляется по заявкам Государственного заказчика, </w:t>
      </w:r>
      <w:r w:rsidR="000C39CC" w:rsidRPr="001830A5">
        <w:rPr>
          <w:rFonts w:ascii="Times New Roman" w:hAnsi="Times New Roman"/>
          <w:b/>
          <w:szCs w:val="24"/>
        </w:rPr>
        <w:t>в течение 10 календарных дней с момента направления заявки</w:t>
      </w:r>
    </w:p>
    <w:p w:rsidR="009457CC" w:rsidRPr="000C39CC" w:rsidRDefault="009457CC" w:rsidP="000C3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4F7CEF">
        <w:rPr>
          <w:b/>
          <w:sz w:val="24"/>
          <w:szCs w:val="24"/>
        </w:rPr>
        <w:t>56581,23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4F7CEF">
        <w:rPr>
          <w:sz w:val="24"/>
          <w:szCs w:val="24"/>
        </w:rPr>
        <w:t>27.08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4F7CEF" w:rsidRPr="00A16AA1">
        <w:rPr>
          <w:sz w:val="24"/>
          <w:szCs w:val="24"/>
        </w:rPr>
        <w:t>Общество с ограниченной ответственностью</w:t>
      </w:r>
      <w:r w:rsidR="004F7CEF" w:rsidRPr="00A16AA1">
        <w:rPr>
          <w:bCs/>
          <w:iCs/>
          <w:sz w:val="24"/>
          <w:szCs w:val="24"/>
        </w:rPr>
        <w:t xml:space="preserve"> </w:t>
      </w:r>
      <w:r w:rsidR="004F7CEF" w:rsidRPr="00A16AA1">
        <w:rPr>
          <w:sz w:val="24"/>
          <w:szCs w:val="24"/>
        </w:rPr>
        <w:t>«</w:t>
      </w:r>
      <w:proofErr w:type="spellStart"/>
      <w:r w:rsidR="004F7CEF" w:rsidRPr="00A16AA1">
        <w:rPr>
          <w:sz w:val="24"/>
          <w:szCs w:val="24"/>
        </w:rPr>
        <w:t>ВелесМед</w:t>
      </w:r>
      <w:proofErr w:type="spellEnd"/>
      <w:r w:rsidR="004F7CEF" w:rsidRPr="00A16AA1">
        <w:rPr>
          <w:sz w:val="24"/>
          <w:szCs w:val="24"/>
        </w:rPr>
        <w:t>»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F7CEF">
        <w:rPr>
          <w:sz w:val="24"/>
          <w:szCs w:val="24"/>
        </w:rPr>
        <w:t xml:space="preserve"> 34514,29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F7CEF" w:rsidRDefault="004F7CEF" w:rsidP="004F7CEF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4F7CEF" w:rsidRPr="00030AEE" w:rsidRDefault="004F7CEF" w:rsidP="004F7CEF">
      <w:pPr>
        <w:pStyle w:val="ad"/>
        <w:suppressAutoHyphens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513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4133"/>
        <w:gridCol w:w="1134"/>
        <w:gridCol w:w="1276"/>
        <w:gridCol w:w="992"/>
        <w:gridCol w:w="851"/>
      </w:tblGrid>
      <w:tr w:rsidR="004F7CEF" w:rsidRPr="00F302C0" w:rsidTr="004F7CEF">
        <w:trPr>
          <w:trHeight w:val="170"/>
        </w:trPr>
        <w:tc>
          <w:tcPr>
            <w:tcW w:w="2127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Наименование товара, единицы измерения, количество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Конкретные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показатели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предлагаемого товара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Наименование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страны происхождения</w:t>
            </w:r>
          </w:p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Цена</w:t>
            </w:r>
          </w:p>
        </w:tc>
        <w:tc>
          <w:tcPr>
            <w:tcW w:w="851" w:type="dxa"/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Сумма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1.Цемент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стеклоиономерный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стоматологический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Стомафил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Цемент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стеклоиономерный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стоматологический на основе тонкодисперсного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алюмофторсиликатного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стекла и водного раствора полиакриловой кислоты. Обладает химической адгезией к дентину и эмали. Обеспечивает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противокариесный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эффект за счет пролонгированного высвобождения фтора.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1 460,00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17 520,00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 порошок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Жидкость,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2.Материал композитный стоматологический химического отверждения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Даймондбрайт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rPr>
                <w:rFonts w:eastAsia="Calibri"/>
                <w:b/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Материал композитный стоматологический химического отверждения используется для  реставрационных работ по III,V классам; избирательн</w:t>
            </w:r>
            <w:proofErr w:type="gramStart"/>
            <w:r w:rsidRPr="00F302C0">
              <w:rPr>
                <w:sz w:val="24"/>
                <w:szCs w:val="24"/>
              </w:rPr>
              <w:t>о-</w:t>
            </w:r>
            <w:proofErr w:type="gramEnd"/>
            <w:r w:rsidRPr="00F302C0">
              <w:rPr>
                <w:sz w:val="24"/>
                <w:szCs w:val="24"/>
              </w:rPr>
              <w:t xml:space="preserve"> эстетическом пломбировании IV класса; работы I класса в </w:t>
            </w:r>
            <w:proofErr w:type="spellStart"/>
            <w:r w:rsidRPr="00F302C0">
              <w:rPr>
                <w:sz w:val="24"/>
                <w:szCs w:val="24"/>
              </w:rPr>
              <w:t>премолярах</w:t>
            </w:r>
            <w:proofErr w:type="spellEnd"/>
            <w:r w:rsidRPr="00F302C0">
              <w:rPr>
                <w:sz w:val="24"/>
                <w:szCs w:val="24"/>
              </w:rPr>
              <w:t>.</w:t>
            </w:r>
            <w:r w:rsidRPr="00F302C0">
              <w:rPr>
                <w:sz w:val="24"/>
                <w:szCs w:val="24"/>
              </w:rPr>
              <w:br/>
            </w:r>
            <w:r w:rsidRPr="00F302C0">
              <w:rPr>
                <w:sz w:val="24"/>
                <w:szCs w:val="24"/>
              </w:rPr>
              <w:lastRenderedPageBreak/>
              <w:t>Упаковка</w:t>
            </w:r>
            <w:r w:rsidRPr="00F302C0">
              <w:rPr>
                <w:sz w:val="24"/>
                <w:szCs w:val="24"/>
              </w:rPr>
              <w:br/>
              <w:t>- аксессуары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835,00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10 020,00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основа,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катализатор,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адгезив-основа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адгезив-катализатор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- травильная жидкость,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3.Материал стоматологический для лечения и пломбирования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Иодотин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стоматологический для лечения и пломбирования корневых каналов зубов при несформированном апексе, а также при резорбции костной ткани корня. Состав: йодоформ, гидроокись кальция,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наполнитель,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пастообразователь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260,00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1 040,00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Шприц,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Пластиковые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эндодонтические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канюли с загнутым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носиком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,ш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4.Материал стоматологический пломбировочный двухкомпонентный антисептический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пломбирования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Тиэдент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шт</w:t>
            </w:r>
            <w:proofErr w:type="spellEnd"/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рентгеноконтрастный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пломбирования корневых каналов зубов при лечении всех форм периодонтитов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тимолиодида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десаметазона</w:t>
            </w:r>
            <w:proofErr w:type="spellEnd"/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окиси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цинка,ацитата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гидрокортизона и эвгенола.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480,00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1 440,00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 порошка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Упаковка, мл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5.Лак стоматологический фторсодержащий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Лак стоматологический фторсодержащий  применяется как профилактическое средство при прогрессивном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праксимальном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кариесе, при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гиперстезии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зубов, при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некариозных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поражениях зубов, при обработке зубов под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искуственные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коронки, как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парадонтальная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повязка после проведения профессиональной гигиены полости рта; в детской стоматологии - при профилактике кариеса с момента прорезывания 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зубов. Представляет собой жидкость бурого цвета с характерным запахом хвои, изготовленная на основе природных смол и бальзамов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155,00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310,00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 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6.Материал для временных пломб Дентин-паста,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 для временных пломб -  материал применяется для покрытия лекарственного препарата в кариозной полости зуба в процессе лечения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неосложненного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кариеса. Материал не должен окрашивать ткани зуба.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59,00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354,00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Упаковка,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7.Материал стоматологический на основе стабилизированного раствора гипохлорита натрия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Белодез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фл,4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Стабилизированный раствор гипохлорита натрия 3%, растворяет органическую основу дентина: как живые (химически фиксированные) так 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некротизированные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ткани. Обладает бактерицидным действием на все грамположительные и грамотрицательные микроорганизмы, грибы и вирусы без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цитотоксичности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уровне апекса.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Воздействует на живые ткани и  поражение витальных клеток.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105,00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420,00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8.Двухкомпонентная защитная подкладка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Кальципульпин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Плюс,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Двухкомпонентная защитная подкладка на основе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кальция применяется в случаях прямого и непрямого покрытия пульпы и изоляции полости зуба от материалов для пломбирования.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Состав: двухкомпонентная система (паста +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), при смешивании которой образуется однородная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легковносимая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полость паста.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Паста -  А: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гидроксид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наполнитель, пластификатор;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Паста - В: кальция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вольфрамат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кальция фосфат, салициловый полимер, наполнитель.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695,29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695,29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Упаковка: паста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Упаковка: паста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9.Комплект жидкостей для обработки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ЭндоЖи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№2,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Комплект жидкостей для обработки корневых каналов зубов: жидкость для расширения и выявления устья каналов зубов.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90,00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10.Комплект жидкостей для обработки корневых каналов зубов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ЭндоЖи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№1, фл,5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Комплект жидкостей для обработки корневых каналов зубов: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жидкостьдля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высушивания и обезжиривания каналов зубов, не содержит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диэтилового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эфира, этанола.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90,00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450,00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Флакон,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11.Набор стоматологический для обработки эмали, удаления зубного камня и полирования пломб из композитных материалов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Полирен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Набор стоматологический для обработки эмали, удаления зубного камня и полирования пломб из композитных материалов - паста, содержит кислотный компонент и абразив.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315,00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Упаковка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,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12.Набор стоматологический для обработки эмали, удаления зубного камня и полирования пломб из композитных материалов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Полирен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Набор стоматологический для обработки эмали, удаления зубного камня и полирования пломб из композитных материалов: паста для обработки эмали перед реставрацией или отбеливанием зубов, перед проведением герметизации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фиссур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для удаления мягкого налета, пелликул, а также для профилактики кариеса (профессиональная чистка зубов)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.а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нтисептические добавки,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биоинертный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наполнитель,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пастообразователь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110,00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330,00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Содержит: в качестве абразива  диоксид кремния размером частиц </w:t>
            </w: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30-50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Формы выпуска: шприц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13.Паста для временного пломбирования 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или для компресса лечебно-защитного при локальной форме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пародонтита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Парасепт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упак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, 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Паста для временного пломбирования или для компресса лечебно-защитного при локальной форме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пародонтита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содержащая волокна в своей массе, приготовлена на основе порошка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цинксульфатного</w:t>
            </w:r>
            <w:proofErr w:type="spell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цемента, не содержит эвгенола. Обладает антибактериальными и противовоспалительными свойствами.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</w:t>
            </w:r>
            <w:proofErr w:type="gramEnd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аличие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135,00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jc w:val="center"/>
              <w:rPr>
                <w:sz w:val="24"/>
                <w:szCs w:val="24"/>
              </w:rPr>
            </w:pPr>
            <w:r w:rsidRPr="00F302C0">
              <w:rPr>
                <w:sz w:val="24"/>
                <w:szCs w:val="24"/>
              </w:rPr>
              <w:t>675,00</w:t>
            </w:r>
          </w:p>
        </w:tc>
      </w:tr>
      <w:tr w:rsidR="004F7CEF" w:rsidRPr="00F302C0" w:rsidTr="004F7C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Упаковка, </w:t>
            </w:r>
            <w:proofErr w:type="spellStart"/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02C0"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EF" w:rsidRPr="00F302C0" w:rsidRDefault="004F7CEF" w:rsidP="004F7CEF">
            <w:pPr>
              <w:pStyle w:val="af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4F7CEF" w:rsidRDefault="004F7CEF" w:rsidP="009457CC">
      <w:pPr>
        <w:ind w:firstLine="708"/>
        <w:rPr>
          <w:b/>
          <w:sz w:val="24"/>
          <w:szCs w:val="24"/>
        </w:rPr>
      </w:pPr>
    </w:p>
    <w:p w:rsidR="004B5F09" w:rsidRPr="00896425" w:rsidRDefault="009457CC" w:rsidP="00896425">
      <w:pPr>
        <w:ind w:firstLine="709"/>
        <w:jc w:val="both"/>
        <w:rPr>
          <w:sz w:val="24"/>
          <w:szCs w:val="24"/>
        </w:rPr>
      </w:pPr>
      <w:r w:rsidRPr="00896425">
        <w:rPr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896425" w:rsidRPr="001830A5">
        <w:rPr>
          <w:sz w:val="24"/>
          <w:szCs w:val="24"/>
        </w:rPr>
        <w:t>Контра</w:t>
      </w:r>
      <w:proofErr w:type="gramStart"/>
      <w:r w:rsidR="00896425" w:rsidRPr="001830A5">
        <w:rPr>
          <w:sz w:val="24"/>
          <w:szCs w:val="24"/>
        </w:rPr>
        <w:t>кт вст</w:t>
      </w:r>
      <w:proofErr w:type="gramEnd"/>
      <w:r w:rsidR="00896425" w:rsidRPr="001830A5">
        <w:rPr>
          <w:sz w:val="24"/>
          <w:szCs w:val="24"/>
        </w:rPr>
        <w:t>упает в силу с</w:t>
      </w:r>
      <w:r w:rsidR="00896425">
        <w:rPr>
          <w:sz w:val="24"/>
          <w:szCs w:val="24"/>
        </w:rPr>
        <w:t xml:space="preserve"> момента подписания и действует до 31 июля  2020 года</w:t>
      </w:r>
      <w:r w:rsidR="00896425" w:rsidRPr="001830A5">
        <w:rPr>
          <w:sz w:val="24"/>
          <w:szCs w:val="24"/>
        </w:rPr>
        <w:t>.</w:t>
      </w:r>
    </w:p>
    <w:p w:rsidR="009457CC" w:rsidRPr="004B5F09" w:rsidRDefault="009457CC" w:rsidP="004B5F0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B5F09">
        <w:rPr>
          <w:b/>
          <w:sz w:val="24"/>
          <w:szCs w:val="24"/>
        </w:rPr>
        <w:t>Номер закупки: №</w:t>
      </w:r>
      <w:r w:rsidRPr="004B5F09">
        <w:rPr>
          <w:b/>
          <w:color w:val="000000"/>
          <w:sz w:val="24"/>
          <w:szCs w:val="24"/>
        </w:rPr>
        <w:t xml:space="preserve"> 03402000033190</w:t>
      </w:r>
      <w:r w:rsidR="00E238B6">
        <w:rPr>
          <w:b/>
          <w:color w:val="000000"/>
          <w:sz w:val="24"/>
          <w:szCs w:val="24"/>
        </w:rPr>
        <w:t>10553</w:t>
      </w:r>
      <w:r w:rsidRPr="004B5F09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E238B6" w:rsidRDefault="009457CC" w:rsidP="00E238B6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E238B6" w:rsidRPr="00A7705C">
        <w:t xml:space="preserve">Поставка </w:t>
      </w:r>
      <w:r w:rsidR="00E238B6">
        <w:t>изделий медицинского назначения (набор для внутривенных вливаний)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E238B6" w:rsidRPr="00E238B6" w:rsidRDefault="00E238B6" w:rsidP="009457CC">
      <w:pPr>
        <w:ind w:firstLine="708"/>
        <w:rPr>
          <w:sz w:val="24"/>
          <w:szCs w:val="24"/>
        </w:rPr>
      </w:pPr>
      <w:r w:rsidRPr="00E238B6">
        <w:t xml:space="preserve">Набор базовый для внутривенных вливаний- 12000 </w:t>
      </w:r>
      <w:proofErr w:type="spellStart"/>
      <w:proofErr w:type="gramStart"/>
      <w:r w:rsidRPr="00E238B6">
        <w:t>шт</w:t>
      </w:r>
      <w:proofErr w:type="spellEnd"/>
      <w:proofErr w:type="gramEnd"/>
    </w:p>
    <w:p w:rsidR="004B5F09" w:rsidRPr="00841D3C" w:rsidRDefault="009457CC" w:rsidP="004B5F09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4B5F09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E238B6">
        <w:rPr>
          <w:b/>
          <w:sz w:val="24"/>
          <w:szCs w:val="24"/>
        </w:rPr>
        <w:t>191160</w:t>
      </w:r>
      <w:r w:rsidR="00896425">
        <w:rPr>
          <w:b/>
          <w:sz w:val="24"/>
          <w:szCs w:val="24"/>
        </w:rPr>
        <w:t>,</w:t>
      </w:r>
      <w:r w:rsidR="00E238B6">
        <w:rPr>
          <w:b/>
          <w:sz w:val="24"/>
          <w:szCs w:val="24"/>
        </w:rPr>
        <w:t>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238B6">
        <w:rPr>
          <w:sz w:val="24"/>
          <w:szCs w:val="24"/>
        </w:rPr>
        <w:t>28.08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E238B6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E238B6" w:rsidRPr="001E0B15">
        <w:rPr>
          <w:sz w:val="24"/>
          <w:szCs w:val="24"/>
        </w:rPr>
        <w:t>ПрофиМед</w:t>
      </w:r>
      <w:proofErr w:type="spellEnd"/>
      <w:r w:rsidR="00E238B6" w:rsidRPr="001E0B15">
        <w:rPr>
          <w:sz w:val="24"/>
          <w:szCs w:val="24"/>
        </w:rPr>
        <w:t>»</w:t>
      </w:r>
    </w:p>
    <w:p w:rsidR="009457CC" w:rsidRPr="004B5F09" w:rsidRDefault="009457CC" w:rsidP="004B5F0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E238B6">
        <w:rPr>
          <w:b/>
          <w:sz w:val="24"/>
          <w:szCs w:val="24"/>
        </w:rPr>
        <w:t xml:space="preserve"> 191160,00</w:t>
      </w:r>
      <w:r w:rsidRPr="004B5F09">
        <w:rPr>
          <w:sz w:val="24"/>
          <w:szCs w:val="24"/>
        </w:rPr>
        <w:t xml:space="preserve">  руб.</w:t>
      </w:r>
      <w:r w:rsidRPr="004B5F09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238B6" w:rsidRPr="00E238B6" w:rsidRDefault="00E238B6" w:rsidP="00E238B6">
      <w:pPr>
        <w:ind w:firstLine="708"/>
        <w:rPr>
          <w:sz w:val="24"/>
          <w:szCs w:val="24"/>
        </w:rPr>
      </w:pPr>
      <w:r w:rsidRPr="00E238B6">
        <w:t>Набор базовый для внутривенных вливаний- 1</w:t>
      </w:r>
      <w:r>
        <w:t xml:space="preserve">0,50 за 1 </w:t>
      </w:r>
      <w:r w:rsidRPr="00E238B6">
        <w:t xml:space="preserve"> </w:t>
      </w:r>
      <w:proofErr w:type="spellStart"/>
      <w:proofErr w:type="gramStart"/>
      <w:r w:rsidRPr="00E238B6">
        <w:t>шт</w:t>
      </w:r>
      <w:proofErr w:type="spellEnd"/>
      <w:proofErr w:type="gramEnd"/>
    </w:p>
    <w:p w:rsidR="00E238B6" w:rsidRDefault="009457CC" w:rsidP="00E238B6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E238B6">
        <w:rPr>
          <w:sz w:val="24"/>
          <w:szCs w:val="24"/>
        </w:rPr>
        <w:t>С</w:t>
      </w:r>
      <w:r w:rsidR="00E238B6" w:rsidRPr="005C2ABE">
        <w:rPr>
          <w:sz w:val="24"/>
          <w:szCs w:val="24"/>
        </w:rPr>
        <w:t xml:space="preserve"> момента подписания </w:t>
      </w:r>
      <w:r w:rsidR="00E238B6">
        <w:rPr>
          <w:sz w:val="24"/>
          <w:szCs w:val="24"/>
        </w:rPr>
        <w:t xml:space="preserve">контракта </w:t>
      </w:r>
      <w:r w:rsidR="00E238B6" w:rsidRPr="005C2ABE">
        <w:rPr>
          <w:sz w:val="24"/>
          <w:szCs w:val="24"/>
        </w:rPr>
        <w:t>и действует</w:t>
      </w:r>
      <w:r w:rsidR="00E238B6">
        <w:rPr>
          <w:sz w:val="24"/>
          <w:szCs w:val="24"/>
        </w:rPr>
        <w:t xml:space="preserve"> до 31 июля 2020 года. </w:t>
      </w:r>
    </w:p>
    <w:p w:rsidR="00534AD0" w:rsidRPr="009D5F2B" w:rsidRDefault="00534AD0" w:rsidP="00534AD0">
      <w:pPr>
        <w:jc w:val="both"/>
        <w:rPr>
          <w:szCs w:val="24"/>
        </w:rPr>
      </w:pPr>
    </w:p>
    <w:p w:rsidR="00534AD0" w:rsidRPr="00534AD0" w:rsidRDefault="00E238B6" w:rsidP="00534AD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534AD0">
        <w:rPr>
          <w:b/>
          <w:sz w:val="24"/>
          <w:szCs w:val="24"/>
        </w:rPr>
        <w:t>.</w:t>
      </w:r>
      <w:r w:rsidR="00534AD0" w:rsidRPr="00534AD0">
        <w:rPr>
          <w:b/>
          <w:sz w:val="24"/>
          <w:szCs w:val="24"/>
        </w:rPr>
        <w:t>Номер закупки: №</w:t>
      </w:r>
      <w:r w:rsidR="00534AD0" w:rsidRPr="00534AD0">
        <w:rPr>
          <w:b/>
          <w:color w:val="000000"/>
          <w:sz w:val="24"/>
          <w:szCs w:val="24"/>
        </w:rPr>
        <w:t xml:space="preserve"> 03402000033190</w:t>
      </w:r>
      <w:r>
        <w:rPr>
          <w:b/>
          <w:color w:val="000000"/>
          <w:sz w:val="24"/>
          <w:szCs w:val="24"/>
        </w:rPr>
        <w:t>10313</w:t>
      </w:r>
      <w:r w:rsidR="00534AD0" w:rsidRPr="00534AD0">
        <w:rPr>
          <w:b/>
          <w:sz w:val="24"/>
          <w:szCs w:val="24"/>
        </w:rPr>
        <w:t>;</w:t>
      </w:r>
    </w:p>
    <w:p w:rsidR="00D9134D" w:rsidRPr="00724B0B" w:rsidRDefault="00D9134D" w:rsidP="00D9134D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E238B6" w:rsidRPr="00A7705C">
        <w:t xml:space="preserve">Поставка </w:t>
      </w:r>
      <w:r w:rsidR="00E238B6">
        <w:t>ламп галогенных.</w:t>
      </w:r>
    </w:p>
    <w:p w:rsidR="00D9134D" w:rsidRDefault="00D9134D" w:rsidP="00D9134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9134D" w:rsidRDefault="00E238B6" w:rsidP="00D9134D">
      <w:pPr>
        <w:tabs>
          <w:tab w:val="left" w:pos="720"/>
          <w:tab w:val="left" w:pos="900"/>
          <w:tab w:val="left" w:pos="1080"/>
          <w:tab w:val="left" w:pos="1260"/>
        </w:tabs>
      </w:pPr>
      <w:r w:rsidRPr="003318D9">
        <w:t>Лампа галогенная</w:t>
      </w:r>
      <w:r>
        <w:t xml:space="preserve">- 5 </w:t>
      </w:r>
      <w:proofErr w:type="spellStart"/>
      <w:proofErr w:type="gramStart"/>
      <w:r>
        <w:t>шт</w:t>
      </w:r>
      <w:proofErr w:type="spellEnd"/>
      <w:proofErr w:type="gramEnd"/>
    </w:p>
    <w:p w:rsidR="00D9134D" w:rsidRPr="00E238B6" w:rsidRDefault="00E238B6" w:rsidP="00E238B6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t xml:space="preserve">                                  1 </w:t>
      </w:r>
      <w:proofErr w:type="spellStart"/>
      <w:proofErr w:type="gramStart"/>
      <w:r>
        <w:t>шт</w:t>
      </w:r>
      <w:proofErr w:type="spellEnd"/>
      <w:proofErr w:type="gramEnd"/>
    </w:p>
    <w:p w:rsidR="00D9134D" w:rsidRPr="00304D57" w:rsidRDefault="00D9134D" w:rsidP="00D9134D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D9134D" w:rsidRPr="002370A2" w:rsidRDefault="00D9134D" w:rsidP="00D913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E238B6">
        <w:rPr>
          <w:sz w:val="24"/>
          <w:szCs w:val="24"/>
        </w:rPr>
        <w:t>5400,00</w:t>
      </w:r>
      <w:r>
        <w:rPr>
          <w:sz w:val="24"/>
          <w:szCs w:val="24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D9134D" w:rsidRPr="00AB12E5" w:rsidRDefault="00D9134D" w:rsidP="00D9134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238B6">
        <w:rPr>
          <w:sz w:val="24"/>
          <w:szCs w:val="24"/>
        </w:rPr>
        <w:t>28.08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D9134D" w:rsidRPr="00691656" w:rsidRDefault="00D9134D" w:rsidP="00D9134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E238B6" w:rsidRPr="00FE3C5E">
        <w:rPr>
          <w:color w:val="000000"/>
          <w:sz w:val="24"/>
          <w:szCs w:val="24"/>
        </w:rPr>
        <w:t>ОБЩЕСТВО С ОГРАНИЧЕННОЙ ОТВЕТСТВЕННОСТЬЮ "РУСГРУПП"</w:t>
      </w: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E238B6">
        <w:rPr>
          <w:sz w:val="24"/>
          <w:szCs w:val="24"/>
        </w:rPr>
        <w:t xml:space="preserve"> 2803,00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D9134D" w:rsidRPr="00724B0B" w:rsidRDefault="00D9134D" w:rsidP="00D9134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E238B6" w:rsidRDefault="00E238B6" w:rsidP="00E238B6">
      <w:pPr>
        <w:tabs>
          <w:tab w:val="left" w:pos="720"/>
          <w:tab w:val="left" w:pos="900"/>
          <w:tab w:val="left" w:pos="1080"/>
          <w:tab w:val="left" w:pos="1260"/>
        </w:tabs>
      </w:pPr>
      <w:r w:rsidRPr="003318D9">
        <w:t>Лампа галогенная</w:t>
      </w:r>
      <w:r>
        <w:t xml:space="preserve">- 467,00 за 1  </w:t>
      </w:r>
      <w:proofErr w:type="spellStart"/>
      <w:proofErr w:type="gramStart"/>
      <w:r>
        <w:t>шт</w:t>
      </w:r>
      <w:proofErr w:type="spellEnd"/>
      <w:proofErr w:type="gramEnd"/>
    </w:p>
    <w:p w:rsidR="00E238B6" w:rsidRPr="00E238B6" w:rsidRDefault="00E238B6" w:rsidP="00E238B6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t xml:space="preserve">                                  468,00 за 1 </w:t>
      </w:r>
      <w:proofErr w:type="spellStart"/>
      <w:proofErr w:type="gramStart"/>
      <w:r>
        <w:t>шт</w:t>
      </w:r>
      <w:proofErr w:type="spellEnd"/>
      <w:proofErr w:type="gramEnd"/>
    </w:p>
    <w:p w:rsidR="00D9134D" w:rsidRDefault="00D9134D" w:rsidP="00D9134D">
      <w:pPr>
        <w:ind w:firstLine="708"/>
        <w:rPr>
          <w:sz w:val="24"/>
          <w:szCs w:val="24"/>
        </w:rPr>
      </w:pPr>
    </w:p>
    <w:p w:rsidR="00D9134D" w:rsidRDefault="00D9134D" w:rsidP="00D9134D">
      <w:pPr>
        <w:ind w:firstLine="708"/>
        <w:rPr>
          <w:b/>
          <w:sz w:val="24"/>
          <w:szCs w:val="24"/>
        </w:rPr>
      </w:pPr>
    </w:p>
    <w:p w:rsidR="00D9134D" w:rsidRDefault="00D9134D" w:rsidP="00D9134D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контракта и действует до 31 </w:t>
      </w:r>
      <w:r>
        <w:rPr>
          <w:sz w:val="24"/>
          <w:szCs w:val="24"/>
        </w:rPr>
        <w:lastRenderedPageBreak/>
        <w:t>мая  2019 года.</w:t>
      </w:r>
    </w:p>
    <w:p w:rsidR="00D9134D" w:rsidRPr="00534AD0" w:rsidRDefault="00926ED3" w:rsidP="00D9134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D9134D">
        <w:rPr>
          <w:b/>
          <w:sz w:val="24"/>
          <w:szCs w:val="24"/>
        </w:rPr>
        <w:t>.</w:t>
      </w:r>
      <w:r w:rsidR="00D9134D" w:rsidRPr="00534AD0">
        <w:rPr>
          <w:b/>
          <w:sz w:val="24"/>
          <w:szCs w:val="24"/>
        </w:rPr>
        <w:t>Номер закупки: №</w:t>
      </w:r>
      <w:r w:rsidR="00D9134D" w:rsidRPr="00534AD0">
        <w:rPr>
          <w:b/>
          <w:color w:val="000000"/>
          <w:sz w:val="24"/>
          <w:szCs w:val="24"/>
        </w:rPr>
        <w:t xml:space="preserve"> 034020000331</w:t>
      </w:r>
      <w:r w:rsidR="00E238B6">
        <w:rPr>
          <w:b/>
          <w:color w:val="000000"/>
          <w:sz w:val="24"/>
          <w:szCs w:val="24"/>
        </w:rPr>
        <w:t>901</w:t>
      </w:r>
      <w:r>
        <w:rPr>
          <w:b/>
          <w:color w:val="000000"/>
          <w:sz w:val="24"/>
          <w:szCs w:val="24"/>
        </w:rPr>
        <w:t>0679</w:t>
      </w:r>
      <w:r w:rsidR="00D9134D" w:rsidRPr="00534AD0">
        <w:rPr>
          <w:b/>
          <w:sz w:val="24"/>
          <w:szCs w:val="24"/>
        </w:rPr>
        <w:t>;</w:t>
      </w:r>
    </w:p>
    <w:p w:rsidR="00534AD0" w:rsidRPr="00AB12E5" w:rsidRDefault="00534AD0" w:rsidP="00534AD0">
      <w:pPr>
        <w:ind w:left="300"/>
        <w:jc w:val="center"/>
        <w:rPr>
          <w:sz w:val="24"/>
          <w:szCs w:val="24"/>
        </w:rPr>
      </w:pPr>
    </w:p>
    <w:p w:rsidR="00926ED3" w:rsidRPr="005F052A" w:rsidRDefault="00534AD0" w:rsidP="00926ED3">
      <w:pPr>
        <w:jc w:val="center"/>
        <w:rPr>
          <w:b/>
          <w:sz w:val="22"/>
          <w:szCs w:val="22"/>
        </w:rPr>
      </w:pPr>
      <w:r w:rsidRPr="0089545A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26ED3">
        <w:rPr>
          <w:b/>
          <w:sz w:val="22"/>
          <w:szCs w:val="22"/>
        </w:rPr>
        <w:t>Поставка</w:t>
      </w:r>
      <w:r w:rsidR="00926ED3" w:rsidRPr="005F052A">
        <w:rPr>
          <w:b/>
          <w:sz w:val="22"/>
          <w:szCs w:val="22"/>
        </w:rPr>
        <w:t xml:space="preserve"> продуктов нефтеперерабатывающей промышленности</w:t>
      </w:r>
    </w:p>
    <w:p w:rsidR="00534AD0" w:rsidRPr="0089545A" w:rsidRDefault="00534AD0" w:rsidP="0089545A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34AD0" w:rsidRDefault="00534AD0" w:rsidP="00534AD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04D57" w:rsidRPr="0089545A" w:rsidRDefault="00926ED3" w:rsidP="0089545A">
      <w:pPr>
        <w:rPr>
          <w:lang w:eastAsia="ar-SA"/>
        </w:rPr>
      </w:pPr>
      <w:r>
        <w:rPr>
          <w:lang w:eastAsia="en-US"/>
        </w:rPr>
        <w:t>Бензин автомобильный неэтилированный с октановым числом не менее 92 (л)- 3500 л</w:t>
      </w:r>
    </w:p>
    <w:p w:rsidR="00534AD0" w:rsidRPr="0089545A" w:rsidRDefault="00534AD0" w:rsidP="0089545A">
      <w:pPr>
        <w:ind w:firstLine="708"/>
        <w:jc w:val="both"/>
        <w:rPr>
          <w:sz w:val="24"/>
          <w:szCs w:val="24"/>
        </w:rPr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926ED3" w:rsidRPr="00121B85">
        <w:t>Поставщик поставляет Заказчику нефтепродукты на автозаправочных станциях, которые должны находиться в радиусе 5 км от места нахождения заказчика (в соответствии с приложением) на территории Кировской области.</w:t>
      </w:r>
    </w:p>
    <w:p w:rsidR="00534AD0" w:rsidRPr="0089545A" w:rsidRDefault="00534AD0" w:rsidP="00895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926ED3">
        <w:rPr>
          <w:b/>
          <w:sz w:val="24"/>
          <w:szCs w:val="24"/>
        </w:rPr>
        <w:t>168000,00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26ED3">
        <w:rPr>
          <w:sz w:val="24"/>
          <w:szCs w:val="24"/>
        </w:rPr>
        <w:t>03.09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34AD0" w:rsidRPr="00691656" w:rsidRDefault="00534AD0" w:rsidP="00534AD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926ED3" w:rsidRPr="00F11983">
        <w:rPr>
          <w:color w:val="000000"/>
        </w:rPr>
        <w:t>Общество с ограниченной ответственностью "</w:t>
      </w:r>
      <w:proofErr w:type="spellStart"/>
      <w:r w:rsidR="00926ED3" w:rsidRPr="00F11983">
        <w:rPr>
          <w:color w:val="000000"/>
        </w:rPr>
        <w:t>Чепецкнефтепродукт</w:t>
      </w:r>
      <w:proofErr w:type="spellEnd"/>
      <w:r w:rsidR="00926ED3" w:rsidRPr="00F11983">
        <w:rPr>
          <w:color w:val="000000"/>
          <w:sz w:val="22"/>
          <w:szCs w:val="22"/>
        </w:rPr>
        <w:t>"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926ED3">
        <w:rPr>
          <w:sz w:val="24"/>
          <w:szCs w:val="24"/>
        </w:rPr>
        <w:t xml:space="preserve"> 168000,00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Default="00534AD0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26ED3" w:rsidRPr="0089545A" w:rsidRDefault="00926ED3" w:rsidP="00926ED3">
      <w:pPr>
        <w:rPr>
          <w:lang w:eastAsia="ar-SA"/>
        </w:rPr>
      </w:pPr>
      <w:r>
        <w:rPr>
          <w:lang w:eastAsia="en-US"/>
        </w:rPr>
        <w:t>Бензин автомобильный неэтилированный с октановым числом не менее 92 (л)- 48,00 за 1 л</w:t>
      </w:r>
    </w:p>
    <w:p w:rsidR="00926ED3" w:rsidRPr="00724B0B" w:rsidRDefault="00926ED3" w:rsidP="00724B0B">
      <w:pPr>
        <w:ind w:firstLine="708"/>
        <w:rPr>
          <w:b/>
          <w:sz w:val="24"/>
          <w:szCs w:val="24"/>
        </w:rPr>
      </w:pPr>
    </w:p>
    <w:p w:rsidR="009457CC" w:rsidRPr="00304D57" w:rsidRDefault="00534AD0" w:rsidP="00304D57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926ED3" w:rsidRPr="00237662">
        <w:t>Настоящий Контра</w:t>
      </w:r>
      <w:proofErr w:type="gramStart"/>
      <w:r w:rsidR="00926ED3" w:rsidRPr="00237662">
        <w:t>кт вст</w:t>
      </w:r>
      <w:proofErr w:type="gramEnd"/>
      <w:r w:rsidR="00926ED3" w:rsidRPr="00237662">
        <w:t>упает в силу с момента подпи</w:t>
      </w:r>
      <w:r w:rsidR="00926ED3">
        <w:t>сания сторонами и действует до 31 декабря 2019</w:t>
      </w:r>
      <w:r w:rsidR="00926ED3" w:rsidRPr="00237662">
        <w:t xml:space="preserve"> года</w:t>
      </w:r>
    </w:p>
    <w:sectPr w:rsidR="009457CC" w:rsidRPr="00304D57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EF" w:rsidRDefault="004F7CEF" w:rsidP="00365AA4">
      <w:r>
        <w:separator/>
      </w:r>
    </w:p>
  </w:endnote>
  <w:endnote w:type="continuationSeparator" w:id="0">
    <w:p w:rsidR="004F7CEF" w:rsidRDefault="004F7CE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4F7CEF" w:rsidRDefault="004F7CEF">
        <w:pPr>
          <w:pStyle w:val="a7"/>
          <w:jc w:val="right"/>
        </w:pPr>
        <w:fldSimple w:instr=" PAGE   \* MERGEFORMAT ">
          <w:r w:rsidR="00926ED3">
            <w:rPr>
              <w:noProof/>
            </w:rPr>
            <w:t>18</w:t>
          </w:r>
        </w:fldSimple>
      </w:p>
    </w:sdtContent>
  </w:sdt>
  <w:p w:rsidR="004F7CEF" w:rsidRDefault="004F7C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EF" w:rsidRDefault="004F7CEF" w:rsidP="00365AA4">
      <w:r>
        <w:separator/>
      </w:r>
    </w:p>
  </w:footnote>
  <w:footnote w:type="continuationSeparator" w:id="0">
    <w:p w:rsidR="004F7CEF" w:rsidRDefault="004F7CE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43FA"/>
    <w:rsid w:val="002560AA"/>
    <w:rsid w:val="002610F7"/>
    <w:rsid w:val="002B67BA"/>
    <w:rsid w:val="002C684A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7C1E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70117"/>
    <w:rsid w:val="005777FA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4A77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662C0"/>
    <w:rsid w:val="0089545A"/>
    <w:rsid w:val="00896425"/>
    <w:rsid w:val="008A2E91"/>
    <w:rsid w:val="008A464F"/>
    <w:rsid w:val="008A5207"/>
    <w:rsid w:val="008B56AE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138FD"/>
    <w:rsid w:val="00A177EA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74702"/>
    <w:rsid w:val="00D9134D"/>
    <w:rsid w:val="00DA0DBB"/>
    <w:rsid w:val="00DA296D"/>
    <w:rsid w:val="00DA4F22"/>
    <w:rsid w:val="00DB7A5D"/>
    <w:rsid w:val="00DD6E7B"/>
    <w:rsid w:val="00DF33C8"/>
    <w:rsid w:val="00E238B6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E2AB3"/>
    <w:rsid w:val="00EE4900"/>
    <w:rsid w:val="00F07FE2"/>
    <w:rsid w:val="00F253E9"/>
    <w:rsid w:val="00F258A4"/>
    <w:rsid w:val="00F42813"/>
    <w:rsid w:val="00F50147"/>
    <w:rsid w:val="00F522D6"/>
    <w:rsid w:val="00F566CF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E260D-2647-4985-9102-27122D77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18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3</cp:revision>
  <cp:lastPrinted>2019-09-19T12:15:00Z</cp:lastPrinted>
  <dcterms:created xsi:type="dcterms:W3CDTF">2019-08-12T13:44:00Z</dcterms:created>
  <dcterms:modified xsi:type="dcterms:W3CDTF">2019-09-19T12:15:00Z</dcterms:modified>
</cp:coreProperties>
</file>